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21" w:leftChars="10"/>
        <w:jc w:val="center"/>
        <w:textAlignment w:val="auto"/>
        <w:rPr>
          <w:rFonts w:hint="eastAsia" w:ascii="方正小标宋简体" w:eastAsia="方正小标宋简体"/>
          <w:color w:val="FF0000"/>
          <w:w w:val="70"/>
          <w:sz w:val="104"/>
          <w:szCs w:val="104"/>
          <w:lang w:val="en-US" w:eastAsia="zh-CN"/>
        </w:rPr>
      </w:pPr>
      <w:r>
        <w:rPr>
          <w:rFonts w:hint="eastAsia" w:ascii="方正小标宋简体" w:eastAsia="方正小标宋简体"/>
          <w:color w:val="FF0000"/>
          <w:w w:val="70"/>
          <w:sz w:val="104"/>
          <w:szCs w:val="104"/>
        </w:rPr>
        <w:t>温州市卫生健康委员会</w:t>
      </w:r>
      <w:r>
        <w:rPr>
          <w:rFonts w:hint="eastAsia" w:ascii="方正小标宋简体" w:eastAsia="方正小标宋简体"/>
          <w:color w:val="FF0000"/>
          <w:w w:val="70"/>
          <w:sz w:val="104"/>
          <w:szCs w:val="104"/>
          <w:lang w:val="en-US" w:eastAsia="zh-CN"/>
        </w:rPr>
        <w:t>文件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 w:hAnsi="仿宋" w:eastAsia="仿宋"/>
          <w:sz w:val="32"/>
          <w:szCs w:val="32"/>
        </w:rPr>
      </w:pPr>
      <w:r>
        <w:rPr>
          <w:rFonts w:hint="eastAsia" w:ascii="仿宋_GB2312" w:hAnsi="仿宋_GB2312" w:eastAsia="仿宋_GB2312" w:cs="仿宋_GB2312"/>
          <w:sz w:val="32"/>
          <w:szCs w:val="32"/>
        </w:rPr>
        <w:t>温卫</w:t>
      </w:r>
      <w:r>
        <w:rPr>
          <w:rFonts w:hint="eastAsia"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heme="minorEastAsia" w:hAnsiTheme="minorEastAsia"/>
          <w:sz w:val="44"/>
          <w:szCs w:val="44"/>
        </w:rPr>
      </w:pPr>
      <w:r>
        <w:rPr>
          <w:rFonts w:ascii="宋体" w:hAnsi="宋体" w:eastAsia="宋体" w:cs="宋体"/>
          <w:color w:val="FF0000"/>
          <w:kern w:val="0"/>
          <w:sz w:val="57"/>
          <w:szCs w:val="57"/>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122555</wp:posOffset>
                </wp:positionV>
                <wp:extent cx="5690870" cy="2540"/>
                <wp:effectExtent l="0" t="23495" r="5080" b="31115"/>
                <wp:wrapNone/>
                <wp:docPr id="1" name="直接连接符 1"/>
                <wp:cNvGraphicFramePr/>
                <a:graphic xmlns:a="http://schemas.openxmlformats.org/drawingml/2006/main">
                  <a:graphicData uri="http://schemas.microsoft.com/office/word/2010/wordprocessingShape">
                    <wps:wsp>
                      <wps:cNvCnPr/>
                      <wps:spPr>
                        <a:xfrm>
                          <a:off x="0" y="0"/>
                          <a:ext cx="5690870" cy="2540"/>
                        </a:xfrm>
                        <a:prstGeom prst="line">
                          <a:avLst/>
                        </a:prstGeom>
                        <a:ln w="476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pt;margin-top:9.65pt;height:0.2pt;width:448.1pt;z-index:251660288;mso-width-relative:page;mso-height-relative:page;" filled="f" stroked="t" coordsize="21600,21600" o:gfxdata="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tPx67YAAAACAEAAA8AAAAAAAAAAQAgAAAAIgAAAGRycy9kb3ducmV2&#10;LnhtbFBLAQIUABQAAAAIAIdO4kD6T//8wwEAAFADAAAOAAAAAAAAAAEAIAAAACcBAABkcnMvZTJv&#10;RG9jLnhtbFBLBQYAAAAABgAGAFkBAABcBQAAAAA=&#10;">
                <v:fill on="f" focussize="0,0"/>
                <v:stroke weight="3.75pt" color="#FF0000 [3204]"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温州市卫生健康委员会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sz w:val="44"/>
          <w:szCs w:val="44"/>
        </w:rPr>
      </w:pPr>
      <w:r>
        <w:rPr>
          <w:rFonts w:hint="eastAsia" w:ascii="方正小标宋简体" w:hAnsi="方正小标宋简体" w:eastAsia="方正小标宋简体" w:cs="方正小标宋简体"/>
          <w:sz w:val="44"/>
          <w:szCs w:val="44"/>
        </w:rPr>
        <w:t>关于印发温州市临床重点专科建设实施方案（2023-2025年）的通知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各县（市、区）卫生健康局、龙港市社会事业局，市属</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卫生</w:t>
      </w:r>
      <w:r>
        <w:rPr>
          <w:rFonts w:hint="eastAsia" w:ascii="仿宋_GB2312" w:hAnsi="仿宋_GB2312" w:eastAsia="仿宋_GB2312" w:cs="仿宋_GB2312"/>
          <w:sz w:val="32"/>
          <w:szCs w:val="32"/>
          <w:lang w:val="en-US" w:eastAsia="zh-CN"/>
        </w:rPr>
        <w:t>健康</w:t>
      </w:r>
      <w:r>
        <w:rPr>
          <w:rFonts w:hint="eastAsia" w:ascii="仿宋_GB2312" w:hAnsi="仿宋_GB2312" w:eastAsia="仿宋_GB2312" w:cs="仿宋_GB2312"/>
          <w:sz w:val="32"/>
          <w:szCs w:val="32"/>
        </w:rPr>
        <w:t>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快我市临床专科能力建设，促进各地医疗专科能力平衡发展，补齐专科短板，推动技术创新转化，提高医疗质量安全，根据《“十四五”国家临床专科能力建设规划》《浙江省临床专科能力建设实施方案（2022—2025 年）》要求，我委组织制定了《温州市临床重点专科建设实施方案（2023-2025年）》现印发给你们，请认真做好落实。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温州市卫生健康委员会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heme="minorEastAsia" w:hAnsiTheme="minorEastAsia"/>
          <w:sz w:val="44"/>
          <w:szCs w:val="44"/>
        </w:rPr>
      </w:pPr>
      <w:r>
        <w:rPr>
          <w:rFonts w:hint="eastAsia" w:ascii="仿宋_GB2312" w:hAnsi="仿宋_GB2312" w:eastAsia="仿宋_GB2312" w:cs="仿宋_GB2312"/>
          <w:sz w:val="32"/>
          <w:szCs w:val="32"/>
        </w:rPr>
        <w:t xml:space="preserve">                           2023年2月3日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温州市临床重点专科建设实施方案（2023-2025年）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为进一步提升我市医疗服务能力，加强医疗核心竞争力，促进医疗质量同质化发展，建设高水平医疗服务体系，结合我市实际，特制定本方案。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一、建设目标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临床重点专科往前带、省级临床重点专科均衡建、市（县）级临床重点专科有序跟”的建设原则，实现重大疾病诊疗水平和疑难危重患者救治能力进一步提升，突发群体重大疾病的防控及处置能力进一步增强，优质医疗资源总量进一步增加，优质医疗资源分布更加均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二、建设计划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（一）国家和省级临床重点专科建设项目。</w:t>
      </w:r>
      <w:r>
        <w:rPr>
          <w:rFonts w:hint="eastAsia" w:ascii="仿宋_GB2312" w:hAnsi="仿宋_GB2312" w:eastAsia="仿宋_GB2312" w:cs="仿宋_GB2312"/>
          <w:sz w:val="32"/>
          <w:szCs w:val="32"/>
        </w:rPr>
        <w:t>以市县三级医院为基础，支持传染科、儿科、精神科、麻醉科、康复医学科等临床专科，病理科、检验科、医学影像科等专科平台，有一定影响力和核心竞争力的特色专科争创国家级和省级临床重点专科。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（二）市级临床重点专科建设项目。</w:t>
      </w:r>
      <w:r>
        <w:rPr>
          <w:rFonts w:hint="eastAsia" w:ascii="仿宋_GB2312" w:hAnsi="仿宋_GB2312" w:eastAsia="仿宋_GB2312" w:cs="仿宋_GB2312"/>
          <w:sz w:val="32"/>
          <w:szCs w:val="32"/>
        </w:rPr>
        <w:t>主要支持市域内发病率和近 3 年来外转诊率排名前 5位的疾病病种所在临床专科能力建设，支持有特色诊疗技术的专科发展，支持县级医院发展推广内镜介入等微创手术相关专科，支持传染科、肿瘤科、心内科、胸外科、麻醉科、重症医学科、急诊医学科、儿科、康复医学科、精神科等专科建设。市级原则上每年按照每70万人口匹配1个市级临床重点专科建设项目，主城区内医院项目占比不超过60%，项目建设周期为三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（三）县级临床重点专科建设项目。</w:t>
      </w:r>
      <w:r>
        <w:rPr>
          <w:rFonts w:hint="eastAsia" w:ascii="仿宋_GB2312" w:hAnsi="仿宋_GB2312" w:eastAsia="仿宋_GB2312" w:cs="仿宋_GB2312"/>
          <w:sz w:val="32"/>
          <w:szCs w:val="32"/>
        </w:rPr>
        <w:t>以县级二级甲等及以上医院为基础，重点支持县域内发病率和近 3 年来外转诊率排名前 5位的疾病病种所在临床专科能力建设，支持县（市、区）有针对性加强心内科、普外科、产科、麻醉科、重症医学科、急诊医学科、骨科、儿科、病理科、检验科、医学影像科、传染科等专科建设。县级每年按照每 10 万人口匹配 1 个县级临床重点专科建设项目，建设经费由县级统筹。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三、建设任务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项目建设的医院需为二级甲等以上医院，医院要充分发挥主观能动性，结合区域医疗需求，确定本机构临床专科能力建设方向，制定本机构临床专科能力建设规划，着力提高医疗服务质量，优化医疗服务流程和模式，重点从以下几个方面开展项目建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（一）提升医疗技术应用水平。</w:t>
      </w:r>
      <w:r>
        <w:rPr>
          <w:rFonts w:hint="eastAsia" w:ascii="仿宋_GB2312" w:hAnsi="仿宋_GB2312" w:eastAsia="仿宋_GB2312" w:cs="仿宋_GB2312"/>
          <w:sz w:val="32"/>
          <w:szCs w:val="32"/>
        </w:rPr>
        <w:t>围绕群众医疗服务需求高、对健康危害大的重大、疑难疾病，不断拓展诊疗方法，提升医疗技术能力和诊疗效果，形成技术优势。在保障患者安全的基础上，大力扶持内镜治疗、宫腹腔镜治疗、介入治疗、穿刺治疗等，逐步实现内镜和介入等技术全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（二）优化医疗服务管理模式。</w:t>
      </w:r>
      <w:r>
        <w:rPr>
          <w:rFonts w:hint="eastAsia" w:ascii="仿宋_GB2312" w:hAnsi="仿宋_GB2312" w:eastAsia="仿宋_GB2312" w:cs="仿宋_GB2312"/>
          <w:sz w:val="32"/>
          <w:szCs w:val="32"/>
        </w:rPr>
        <w:t>积极吸纳先进的诊疗理念，针对恶性肿瘤、心脑血管疾病等重大疾病建立专病联合诊治的有效模式，研究推广多学科诊疗（MDT）、快速康复、中西医结合等新诊疗模式。积极推动智慧医疗体系建设，加强人工智能、传感技术在医疗行业的探索实践。推广“互联网+”医疗服务新模式，争取在新医学材料应用、计算机智能辅助诊疗、远程医疗等方面取得积极进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（三）提高医疗质量安全水平。</w:t>
      </w:r>
      <w:r>
        <w:rPr>
          <w:rFonts w:hint="eastAsia" w:ascii="仿宋_GB2312" w:hAnsi="仿宋_GB2312" w:eastAsia="仿宋_GB2312" w:cs="仿宋_GB2312"/>
          <w:sz w:val="32"/>
          <w:szCs w:val="32"/>
        </w:rPr>
        <w:t>将医疗质量安全管理工作融入临床专科能力建设工作，采用医疗质量管理工具进行科学管理，加强质控指标应用和医疗质量安全数据收集、分析、反馈。以医疗质量安全情况为依据，开展针对性改进。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（四）加强专科人才队伍建设。</w:t>
      </w:r>
      <w:r>
        <w:rPr>
          <w:rFonts w:hint="eastAsia" w:ascii="仿宋_GB2312" w:hAnsi="仿宋_GB2312" w:eastAsia="仿宋_GB2312" w:cs="仿宋_GB2312"/>
          <w:sz w:val="32"/>
          <w:szCs w:val="32"/>
        </w:rPr>
        <w:t>坚持引进与培养相结合，以培养为主的原则，建立人才培养机制，形成包括顶尖人才、技术骨干、中坚力量与青年医师等层级不同的专科人才梯队。在优势学科领域，注重医学交叉领域、再生医学、中西医结合等复合创新团队建设，在均衡发展基础上有重点的发展特色亚专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四、项目管理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（一）遴选机制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1.市级项目为评优机制产生，按照公平、客观的原则，采用数据分析和声誉评价相结合的方式，利用DRG 质量绩效分析、三级公立医院绩效考核等信息系统采集数据信息，使用《临床重点专科建设项目遴选指标体系》（以下简称《项目遴选指标体系》）（见附件），客观量化评估医院临床重点专科建设基础条件，同时结合医院申报的专科建设方案，综合评估医院建设目标、建设任务和配套政策等内容后，选择一批基础条件突出、具备较强竞争力、专科建设目标与思路清晰的医院承担临床重点专科建设任务。原则上在每年一季度开展项目申报工作，已申报国家级省级临床重点专科项目的不得重复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申报医院要结合本地区常见病、多发病及转外就医率高的病种，对照《项目遴选指标体系》评估本医院临床专科能力和建设基础，结合医院专科建设规划确定申报方向，并制定详细的专科建设方案。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卫生健康部门要严格审核本地区医院申报项目材料，结合当地规划，根据本地区居民疾病谱、异地就医病种、临床专科能力建设成效和建设需要进行初步遴选，确定推荐项目单位。市级医院直接向市卫生健康委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2.县级项目由各县（市、区）卫生健康行政部门组织实施，可参照市级项目遴选机制进行，县级临床重点专科确认后项目名单上报市卫生健康委。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（二）考核评价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两级临床重点专科建设项目建设周期为3年。项目建设期末，市卫生健康委对照项目建设方案对市级临床重点专科项目建设情况进行评估，评估采用客观数据和现场核查相结合的方式，客观数据重点评估医疗服务质量、医疗服务能力、医疗服务效率等专科能力和绩效情况，现场抽核重点评估医院管理、项目管理、人才队伍建设等情况，评估合格的市级临床重点专科建设项目将向省卫生健康委申请复核，同时对县级临床重点专科建设项目进行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各县（市、区）卫生健康部门要加强组织领导，科学分析本地区医疗需求和专科建设基础，认真组织医院申报。加强部门协调，积极争取本级财政对临床重点专科的资金、人才和政策保障措施。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（二）强化主体责任。</w:t>
      </w:r>
      <w:r>
        <w:rPr>
          <w:rFonts w:hint="eastAsia" w:ascii="仿宋_GB2312" w:hAnsi="仿宋_GB2312" w:eastAsia="仿宋_GB2312" w:cs="仿宋_GB2312"/>
          <w:sz w:val="32"/>
          <w:szCs w:val="32"/>
        </w:rPr>
        <w:t>项目建设单位要将专科能力建设状况和水平纳入重要议事日程，在项目建设过程中，要根据项目建设目标，整合资源，加大力度，确保在建设周期内取得实效。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（三）加强效果评价。</w:t>
      </w:r>
      <w:r>
        <w:rPr>
          <w:rFonts w:hint="eastAsia" w:ascii="仿宋_GB2312" w:hAnsi="仿宋_GB2312" w:eastAsia="仿宋_GB2312" w:cs="仿宋_GB2312"/>
          <w:sz w:val="32"/>
          <w:szCs w:val="32"/>
        </w:rPr>
        <w:t>各县（市、区）卫生健康部门要加强客观量化评估，及时监测相关指标的变化，掌握项目建设进展情况，加强绩效考核评估，落实问责制度，保障建设成效。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rPr>
        <w:t>：临床重点专科建设项目遴选指标体系</w:t>
      </w:r>
    </w:p>
    <w:p>
      <w:pPr>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2"/>
          <w:szCs w:val="32"/>
        </w:rPr>
      </w:pPr>
      <w:r>
        <w:rPr>
          <w:rFonts w:hint="eastAsia" w:ascii="黑体" w:hAnsi="黑体" w:eastAsia="黑体" w:cs="黑体"/>
          <w:sz w:val="32"/>
          <w:szCs w:val="32"/>
        </w:rPr>
        <w:t>附件</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临床重点专科建设项目遴选指标体系</w:t>
      </w:r>
    </w:p>
    <w:tbl>
      <w:tblPr>
        <w:tblStyle w:val="6"/>
        <w:tblW w:w="9433" w:type="dxa"/>
        <w:jc w:val="center"/>
        <w:tblLayout w:type="fixed"/>
        <w:tblCellMar>
          <w:top w:w="0" w:type="dxa"/>
          <w:left w:w="108" w:type="dxa"/>
          <w:bottom w:w="0" w:type="dxa"/>
          <w:right w:w="108" w:type="dxa"/>
        </w:tblCellMar>
      </w:tblPr>
      <w:tblGrid>
        <w:gridCol w:w="866"/>
        <w:gridCol w:w="1559"/>
        <w:gridCol w:w="1815"/>
        <w:gridCol w:w="5193"/>
      </w:tblGrid>
      <w:tr>
        <w:tblPrEx>
          <w:tblCellMar>
            <w:top w:w="0" w:type="dxa"/>
            <w:left w:w="108" w:type="dxa"/>
            <w:bottom w:w="0" w:type="dxa"/>
            <w:right w:w="108" w:type="dxa"/>
          </w:tblCellMar>
        </w:tblPrEx>
        <w:trPr>
          <w:trHeight w:val="270" w:hRule="atLeast"/>
          <w:jc w:val="center"/>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8"/>
                <w:szCs w:val="32"/>
              </w:rPr>
            </w:pPr>
            <w:r>
              <w:rPr>
                <w:rFonts w:hint="eastAsia" w:ascii="黑体" w:hAnsi="黑体" w:eastAsia="黑体" w:cs="黑体"/>
                <w:color w:val="000000"/>
                <w:kern w:val="0"/>
                <w:sz w:val="28"/>
                <w:szCs w:val="32"/>
              </w:rPr>
              <w:t>序号</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8"/>
                <w:szCs w:val="32"/>
              </w:rPr>
            </w:pPr>
            <w:r>
              <w:rPr>
                <w:rFonts w:hint="eastAsia" w:ascii="黑体" w:hAnsi="黑体" w:eastAsia="黑体" w:cs="黑体"/>
                <w:color w:val="000000"/>
                <w:kern w:val="0"/>
                <w:sz w:val="28"/>
                <w:szCs w:val="32"/>
              </w:rPr>
              <w:t>一级指标</w:t>
            </w:r>
          </w:p>
        </w:tc>
        <w:tc>
          <w:tcPr>
            <w:tcW w:w="181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8"/>
                <w:szCs w:val="32"/>
              </w:rPr>
            </w:pPr>
            <w:r>
              <w:rPr>
                <w:rFonts w:hint="eastAsia" w:ascii="黑体" w:hAnsi="黑体" w:eastAsia="黑体" w:cs="黑体"/>
                <w:color w:val="000000"/>
                <w:kern w:val="0"/>
                <w:sz w:val="28"/>
                <w:szCs w:val="32"/>
              </w:rPr>
              <w:t>二级指标</w:t>
            </w:r>
          </w:p>
        </w:tc>
        <w:tc>
          <w:tcPr>
            <w:tcW w:w="519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8"/>
                <w:szCs w:val="32"/>
              </w:rPr>
            </w:pPr>
            <w:r>
              <w:rPr>
                <w:rFonts w:hint="eastAsia" w:ascii="黑体" w:hAnsi="黑体" w:eastAsia="黑体" w:cs="黑体"/>
                <w:color w:val="000000"/>
                <w:kern w:val="0"/>
                <w:sz w:val="28"/>
                <w:szCs w:val="32"/>
              </w:rPr>
              <w:t>三级指标</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1</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医院管理情况</w:t>
            </w:r>
          </w:p>
        </w:tc>
        <w:tc>
          <w:tcPr>
            <w:tcW w:w="18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医院整体管理情况</w:t>
            </w: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组织管理体系</w:t>
            </w:r>
          </w:p>
        </w:tc>
      </w:tr>
      <w:tr>
        <w:tblPrEx>
          <w:tblCellMar>
            <w:top w:w="0" w:type="dxa"/>
            <w:left w:w="108" w:type="dxa"/>
            <w:bottom w:w="0" w:type="dxa"/>
            <w:right w:w="108" w:type="dxa"/>
          </w:tblCellMar>
        </w:tblPrEx>
        <w:trPr>
          <w:trHeight w:val="54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2</w:t>
            </w: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8"/>
                <w:szCs w:val="32"/>
              </w:rPr>
            </w:pP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医院发展规划</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3</w:t>
            </w: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8"/>
                <w:szCs w:val="32"/>
              </w:rPr>
            </w:pP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资金管理制度</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4</w:t>
            </w: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医院对专科支持情况</w:t>
            </w: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扶持政策或措施</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5</w:t>
            </w: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8"/>
                <w:szCs w:val="32"/>
              </w:rPr>
            </w:pP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软、硬件支持</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6</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专科建设与服务情况</w:t>
            </w:r>
          </w:p>
        </w:tc>
        <w:tc>
          <w:tcPr>
            <w:tcW w:w="18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专科建设</w:t>
            </w: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亚专科建设</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7</w:t>
            </w: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8"/>
                <w:szCs w:val="32"/>
              </w:rPr>
            </w:pP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技术特色</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8</w:t>
            </w: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住院患者医疗服务能力（近 3 年）</w:t>
            </w: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DRGs 组数</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9</w:t>
            </w: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宋体"/>
                <w:color w:val="000000"/>
                <w:kern w:val="0"/>
                <w:sz w:val="28"/>
                <w:szCs w:val="32"/>
              </w:rPr>
            </w:pP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病例组合指数（CMI）</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10</w:t>
            </w: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宋体"/>
                <w:color w:val="000000"/>
                <w:kern w:val="0"/>
                <w:sz w:val="28"/>
                <w:szCs w:val="32"/>
              </w:rPr>
            </w:pP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宋体"/>
                <w:color w:val="000000"/>
                <w:kern w:val="0"/>
                <w:sz w:val="28"/>
                <w:szCs w:val="32"/>
              </w:rPr>
            </w:pPr>
            <w:r>
              <w:rPr>
                <w:rFonts w:hint="eastAsia" w:ascii="仿宋" w:hAnsi="仿宋" w:eastAsia="仿宋" w:cs="宋体"/>
                <w:color w:val="000000"/>
                <w:kern w:val="0"/>
                <w:sz w:val="28"/>
                <w:szCs w:val="32"/>
              </w:rPr>
              <w:t>1.市级医院：四级手术占比（外科为主）</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2.县级医院：三四级手术占比（外科为主）</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11</w:t>
            </w: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宋体"/>
                <w:color w:val="000000"/>
                <w:kern w:val="0"/>
                <w:sz w:val="28"/>
                <w:szCs w:val="32"/>
              </w:rPr>
            </w:pP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微创手术占比（外科为主）</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12</w:t>
            </w: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住院患者医疗服务效率（近 3 年）</w:t>
            </w: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费用消耗指数</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13</w:t>
            </w: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宋体"/>
                <w:color w:val="000000"/>
                <w:kern w:val="0"/>
                <w:sz w:val="28"/>
                <w:szCs w:val="32"/>
              </w:rPr>
            </w:pP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时间消耗指数</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14</w:t>
            </w: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住院患者医疗质量安全（近 3 年）</w:t>
            </w: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中低风险组死亡率</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15</w:t>
            </w:r>
          </w:p>
        </w:tc>
        <w:tc>
          <w:tcPr>
            <w:tcW w:w="155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宋体"/>
                <w:color w:val="000000"/>
                <w:kern w:val="0"/>
                <w:sz w:val="28"/>
                <w:szCs w:val="32"/>
              </w:rPr>
            </w:pP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急危重病例救治能力</w:t>
            </w:r>
          </w:p>
        </w:tc>
      </w:tr>
      <w:tr>
        <w:tblPrEx>
          <w:tblCellMar>
            <w:top w:w="0" w:type="dxa"/>
            <w:left w:w="108" w:type="dxa"/>
            <w:bottom w:w="0" w:type="dxa"/>
            <w:right w:w="108" w:type="dxa"/>
          </w:tblCellMar>
        </w:tblPrEx>
        <w:trPr>
          <w:trHeight w:val="270" w:hRule="atLeast"/>
          <w:jc w:val="center"/>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16</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宋体"/>
                <w:color w:val="000000"/>
                <w:kern w:val="0"/>
                <w:sz w:val="28"/>
                <w:szCs w:val="32"/>
              </w:rPr>
            </w:pPr>
          </w:p>
        </w:tc>
        <w:tc>
          <w:tcPr>
            <w:tcW w:w="5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本专业重点病种（单病种）医疗质量管理情况</w:t>
            </w:r>
          </w:p>
        </w:tc>
      </w:tr>
      <w:tr>
        <w:tblPrEx>
          <w:tblCellMar>
            <w:top w:w="0" w:type="dxa"/>
            <w:left w:w="108" w:type="dxa"/>
            <w:bottom w:w="0" w:type="dxa"/>
            <w:right w:w="108" w:type="dxa"/>
          </w:tblCellMar>
        </w:tblPrEx>
        <w:trPr>
          <w:trHeight w:val="270" w:hRule="atLeast"/>
          <w:jc w:val="center"/>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17</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技术突破与创新基础</w:t>
            </w:r>
          </w:p>
        </w:tc>
        <w:tc>
          <w:tcPr>
            <w:tcW w:w="5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省级、市级科研项目数（近3年）</w:t>
            </w:r>
          </w:p>
        </w:tc>
      </w:tr>
      <w:tr>
        <w:tblPrEx>
          <w:tblCellMar>
            <w:top w:w="0" w:type="dxa"/>
            <w:left w:w="108" w:type="dxa"/>
            <w:bottom w:w="0" w:type="dxa"/>
            <w:right w:w="108" w:type="dxa"/>
          </w:tblCellMar>
        </w:tblPrEx>
        <w:trPr>
          <w:trHeight w:val="810" w:hRule="atLeast"/>
          <w:jc w:val="center"/>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18</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宋体"/>
                <w:color w:val="000000"/>
                <w:kern w:val="0"/>
                <w:sz w:val="28"/>
                <w:szCs w:val="32"/>
              </w:rPr>
            </w:pPr>
          </w:p>
        </w:tc>
        <w:tc>
          <w:tcPr>
            <w:tcW w:w="519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有希望近期取得突破性进展的医疗技术研究项目（重点关注再生医学、生物医学新技术、人工智能、精准医疗等方面）</w:t>
            </w:r>
          </w:p>
        </w:tc>
      </w:tr>
      <w:tr>
        <w:tblPrEx>
          <w:tblCellMar>
            <w:top w:w="0" w:type="dxa"/>
            <w:left w:w="108" w:type="dxa"/>
            <w:bottom w:w="0" w:type="dxa"/>
            <w:right w:w="108" w:type="dxa"/>
          </w:tblCellMar>
        </w:tblPrEx>
        <w:trPr>
          <w:trHeight w:val="270" w:hRule="atLeast"/>
          <w:jc w:val="center"/>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19</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人才队伍建设情况</w:t>
            </w:r>
          </w:p>
        </w:tc>
        <w:tc>
          <w:tcPr>
            <w:tcW w:w="18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人才梯队建设</w:t>
            </w:r>
          </w:p>
        </w:tc>
        <w:tc>
          <w:tcPr>
            <w:tcW w:w="5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人员基本结构情况</w:t>
            </w:r>
          </w:p>
        </w:tc>
      </w:tr>
      <w:tr>
        <w:tblPrEx>
          <w:tblCellMar>
            <w:top w:w="0" w:type="dxa"/>
            <w:left w:w="108" w:type="dxa"/>
            <w:bottom w:w="0" w:type="dxa"/>
            <w:right w:w="108" w:type="dxa"/>
          </w:tblCellMar>
        </w:tblPrEx>
        <w:trPr>
          <w:trHeight w:val="270" w:hRule="atLeast"/>
          <w:jc w:val="center"/>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20</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5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梯队结构配臵情况</w:t>
            </w:r>
          </w:p>
        </w:tc>
      </w:tr>
      <w:tr>
        <w:tblPrEx>
          <w:tblCellMar>
            <w:top w:w="0" w:type="dxa"/>
            <w:left w:w="108" w:type="dxa"/>
            <w:bottom w:w="0" w:type="dxa"/>
            <w:right w:w="108" w:type="dxa"/>
          </w:tblCellMar>
        </w:tblPrEx>
        <w:trPr>
          <w:trHeight w:val="270" w:hRule="atLeast"/>
          <w:jc w:val="center"/>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21</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5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亚专科学科带头人及骨干发展情况</w:t>
            </w:r>
          </w:p>
        </w:tc>
      </w:tr>
      <w:tr>
        <w:tblPrEx>
          <w:tblCellMar>
            <w:top w:w="0" w:type="dxa"/>
            <w:left w:w="108" w:type="dxa"/>
            <w:bottom w:w="0" w:type="dxa"/>
            <w:right w:w="108" w:type="dxa"/>
          </w:tblCellMar>
        </w:tblPrEx>
        <w:trPr>
          <w:trHeight w:val="270" w:hRule="atLeast"/>
          <w:jc w:val="center"/>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22</w:t>
            </w:r>
          </w:p>
        </w:tc>
        <w:tc>
          <w:tcPr>
            <w:tcW w:w="15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专业影响力</w:t>
            </w:r>
          </w:p>
        </w:tc>
        <w:tc>
          <w:tcPr>
            <w:tcW w:w="18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医疗辐射能力（近 3 年）</w:t>
            </w:r>
          </w:p>
        </w:tc>
        <w:tc>
          <w:tcPr>
            <w:tcW w:w="519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出院患者中县外（市外）患者比例</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23</w:t>
            </w: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接受下级医院或转至上级医院急危重症和疑难病患者转诊数量</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24</w:t>
            </w: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声誉和影响力（近 3 年）</w:t>
            </w: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承担省级、市级及县级质控中心工作个数</w:t>
            </w:r>
          </w:p>
        </w:tc>
      </w:tr>
      <w:tr>
        <w:tblPrEx>
          <w:tblCellMar>
            <w:top w:w="0" w:type="dxa"/>
            <w:left w:w="108" w:type="dxa"/>
            <w:bottom w:w="0" w:type="dxa"/>
            <w:right w:w="108" w:type="dxa"/>
          </w:tblCellMar>
        </w:tblPrEx>
        <w:trPr>
          <w:trHeight w:val="810" w:hRule="atLeast"/>
          <w:jc w:val="center"/>
        </w:trPr>
        <w:tc>
          <w:tcPr>
            <w:tcW w:w="8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25</w:t>
            </w: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18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 w:hAnsi="仿宋" w:eastAsia="仿宋" w:cs="宋体"/>
                <w:color w:val="000000"/>
                <w:kern w:val="0"/>
                <w:sz w:val="28"/>
                <w:szCs w:val="32"/>
              </w:rPr>
            </w:pPr>
          </w:p>
        </w:tc>
        <w:tc>
          <w:tcPr>
            <w:tcW w:w="5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宋体"/>
                <w:color w:val="000000"/>
                <w:kern w:val="0"/>
                <w:sz w:val="28"/>
                <w:szCs w:val="32"/>
              </w:rPr>
            </w:pPr>
            <w:r>
              <w:rPr>
                <w:rFonts w:hint="eastAsia" w:ascii="仿宋" w:hAnsi="仿宋" w:eastAsia="仿宋" w:cs="宋体"/>
                <w:color w:val="000000"/>
                <w:kern w:val="0"/>
                <w:sz w:val="28"/>
                <w:szCs w:val="32"/>
              </w:rPr>
              <w:t>现任或曾任本专科市级以上主要学术组织常委或编委以上数量（个）</w:t>
            </w:r>
          </w:p>
        </w:tc>
      </w:tr>
    </w:tbl>
    <w:tbl>
      <w:tblPr>
        <w:tblStyle w:val="6"/>
        <w:tblpPr w:leftFromText="180" w:rightFromText="180" w:vertAnchor="text" w:horzAnchor="page" w:tblpX="1525" w:tblpY="7797"/>
        <w:tblOverlap w:val="never"/>
        <w:tblW w:w="9180" w:type="dxa"/>
        <w:tblInd w:w="0" w:type="dxa"/>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9180"/>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9180" w:type="dxa"/>
          </w:tcPr>
          <w:p>
            <w:pPr>
              <w:spacing w:line="480" w:lineRule="exact"/>
              <w:ind w:firstLine="136" w:firstLineChars="50"/>
            </w:pPr>
            <w:r>
              <w:rPr>
                <w:rFonts w:hint="eastAsia" w:ascii="仿宋_GB2312" w:eastAsia="仿宋_GB2312"/>
                <w:spacing w:val="-4"/>
                <w:sz w:val="28"/>
                <w:szCs w:val="28"/>
              </w:rPr>
              <w:t>温州市卫生健康委员会办公室</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202</w:t>
            </w:r>
            <w:r>
              <w:rPr>
                <w:rFonts w:hint="eastAsia" w:ascii="仿宋_GB2312" w:hAnsi="仿宋" w:eastAsia="仿宋_GB2312"/>
                <w:sz w:val="28"/>
                <w:szCs w:val="28"/>
                <w:lang w:val="en-US" w:eastAsia="zh-CN"/>
              </w:rPr>
              <w:t>3</w:t>
            </w:r>
            <w:r>
              <w:rPr>
                <w:rFonts w:hint="eastAsia" w:ascii="仿宋_GB2312" w:hAnsi="仿宋" w:eastAsia="仿宋_GB2312"/>
                <w:sz w:val="28"/>
                <w:szCs w:val="28"/>
              </w:rPr>
              <w:t>年</w:t>
            </w:r>
            <w:r>
              <w:rPr>
                <w:rFonts w:hint="eastAsia" w:ascii="仿宋_GB2312" w:hAnsi="仿宋" w:eastAsia="仿宋_GB2312"/>
                <w:sz w:val="28"/>
                <w:szCs w:val="28"/>
                <w:lang w:val="en-US" w:eastAsia="zh-CN"/>
              </w:rPr>
              <w:t>2</w:t>
            </w:r>
            <w:r>
              <w:rPr>
                <w:rFonts w:hint="eastAsia" w:ascii="仿宋_GB2312" w:hAnsi="仿宋" w:eastAsia="仿宋_GB2312"/>
                <w:sz w:val="28"/>
                <w:szCs w:val="28"/>
              </w:rPr>
              <w:t>月</w:t>
            </w:r>
            <w:r>
              <w:rPr>
                <w:rFonts w:hint="eastAsia" w:ascii="仿宋_GB2312" w:hAnsi="仿宋" w:eastAsia="仿宋_GB2312"/>
                <w:sz w:val="28"/>
                <w:szCs w:val="28"/>
                <w:lang w:val="en-US" w:eastAsia="zh-CN"/>
              </w:rPr>
              <w:t>6</w:t>
            </w:r>
            <w:r>
              <w:rPr>
                <w:rFonts w:hint="eastAsia" w:ascii="仿宋_GB2312" w:hAnsi="仿宋" w:eastAsia="仿宋_GB2312"/>
                <w:sz w:val="28"/>
                <w:szCs w:val="28"/>
              </w:rPr>
              <w:t>日印发</w:t>
            </w:r>
          </w:p>
        </w:tc>
      </w:tr>
    </w:tbl>
    <w:p>
      <w:pPr>
        <w:rPr>
          <w:rFonts w:ascii="仿宋" w:hAnsi="仿宋" w:eastAsia="仿宋"/>
          <w:sz w:val="32"/>
          <w:szCs w:val="32"/>
        </w:rPr>
      </w:pPr>
      <w:bookmarkStart w:id="0" w:name="_GoBack"/>
      <w:bookmarkEnd w:id="0"/>
    </w:p>
    <w:sectPr>
      <w:footerReference r:id="rId3" w:type="default"/>
      <w:pgSz w:w="11906" w:h="16838"/>
      <w:pgMar w:top="2098" w:right="1474" w:bottom="1984" w:left="1587"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F1"/>
    <w:rsid w:val="00002F85"/>
    <w:rsid w:val="000115FC"/>
    <w:rsid w:val="00014E27"/>
    <w:rsid w:val="00032AC7"/>
    <w:rsid w:val="00037CDE"/>
    <w:rsid w:val="00040145"/>
    <w:rsid w:val="00042224"/>
    <w:rsid w:val="000514F1"/>
    <w:rsid w:val="00074D2F"/>
    <w:rsid w:val="00074DB2"/>
    <w:rsid w:val="00080D04"/>
    <w:rsid w:val="000B0C9C"/>
    <w:rsid w:val="000B7374"/>
    <w:rsid w:val="000D7455"/>
    <w:rsid w:val="000D7C84"/>
    <w:rsid w:val="000E1832"/>
    <w:rsid w:val="001050A0"/>
    <w:rsid w:val="0012235A"/>
    <w:rsid w:val="00130C6E"/>
    <w:rsid w:val="00134B93"/>
    <w:rsid w:val="00136ADD"/>
    <w:rsid w:val="001371F4"/>
    <w:rsid w:val="001449CD"/>
    <w:rsid w:val="00152E06"/>
    <w:rsid w:val="00182D30"/>
    <w:rsid w:val="00187EAC"/>
    <w:rsid w:val="0019116C"/>
    <w:rsid w:val="001947FF"/>
    <w:rsid w:val="001A650B"/>
    <w:rsid w:val="001B0CAE"/>
    <w:rsid w:val="001B4036"/>
    <w:rsid w:val="001D21EC"/>
    <w:rsid w:val="0020360F"/>
    <w:rsid w:val="00203B4D"/>
    <w:rsid w:val="00203DCC"/>
    <w:rsid w:val="002126FA"/>
    <w:rsid w:val="0022206F"/>
    <w:rsid w:val="00241C6A"/>
    <w:rsid w:val="00245667"/>
    <w:rsid w:val="002620C4"/>
    <w:rsid w:val="002725AC"/>
    <w:rsid w:val="00281353"/>
    <w:rsid w:val="00287631"/>
    <w:rsid w:val="002951C2"/>
    <w:rsid w:val="002B4B60"/>
    <w:rsid w:val="002B5DEE"/>
    <w:rsid w:val="002D342E"/>
    <w:rsid w:val="002E5D9B"/>
    <w:rsid w:val="002F458D"/>
    <w:rsid w:val="002F7BCC"/>
    <w:rsid w:val="00305A40"/>
    <w:rsid w:val="003348C5"/>
    <w:rsid w:val="00342186"/>
    <w:rsid w:val="00345033"/>
    <w:rsid w:val="003648E4"/>
    <w:rsid w:val="00366FAC"/>
    <w:rsid w:val="0037451A"/>
    <w:rsid w:val="00392809"/>
    <w:rsid w:val="003D56B4"/>
    <w:rsid w:val="003F0785"/>
    <w:rsid w:val="00402104"/>
    <w:rsid w:val="0040410C"/>
    <w:rsid w:val="0041122B"/>
    <w:rsid w:val="004216A6"/>
    <w:rsid w:val="00424DB7"/>
    <w:rsid w:val="0043197A"/>
    <w:rsid w:val="00443DF9"/>
    <w:rsid w:val="004615E8"/>
    <w:rsid w:val="00467DDD"/>
    <w:rsid w:val="0047019A"/>
    <w:rsid w:val="004816AB"/>
    <w:rsid w:val="004879FA"/>
    <w:rsid w:val="004908AF"/>
    <w:rsid w:val="004C1500"/>
    <w:rsid w:val="004C6E46"/>
    <w:rsid w:val="004C70FA"/>
    <w:rsid w:val="004D6225"/>
    <w:rsid w:val="004D672B"/>
    <w:rsid w:val="00514621"/>
    <w:rsid w:val="00522DB7"/>
    <w:rsid w:val="0052369E"/>
    <w:rsid w:val="00543F42"/>
    <w:rsid w:val="005543A5"/>
    <w:rsid w:val="00557EAB"/>
    <w:rsid w:val="00580197"/>
    <w:rsid w:val="00584EE1"/>
    <w:rsid w:val="00593B99"/>
    <w:rsid w:val="005A6A1D"/>
    <w:rsid w:val="005B106C"/>
    <w:rsid w:val="005B4AE4"/>
    <w:rsid w:val="005C4CB6"/>
    <w:rsid w:val="005C7AA7"/>
    <w:rsid w:val="005D2C42"/>
    <w:rsid w:val="005E0ED9"/>
    <w:rsid w:val="005E1E58"/>
    <w:rsid w:val="005E64ED"/>
    <w:rsid w:val="005F3E2D"/>
    <w:rsid w:val="006129E7"/>
    <w:rsid w:val="006362A7"/>
    <w:rsid w:val="00636C86"/>
    <w:rsid w:val="00637A4C"/>
    <w:rsid w:val="00652262"/>
    <w:rsid w:val="00652F08"/>
    <w:rsid w:val="00656123"/>
    <w:rsid w:val="00680691"/>
    <w:rsid w:val="0069005B"/>
    <w:rsid w:val="00695FAE"/>
    <w:rsid w:val="006A0D24"/>
    <w:rsid w:val="006A4072"/>
    <w:rsid w:val="006B2089"/>
    <w:rsid w:val="006B5026"/>
    <w:rsid w:val="006D5671"/>
    <w:rsid w:val="007046DC"/>
    <w:rsid w:val="00707C76"/>
    <w:rsid w:val="00730FFD"/>
    <w:rsid w:val="00740B02"/>
    <w:rsid w:val="00747CCA"/>
    <w:rsid w:val="007563FD"/>
    <w:rsid w:val="007660D4"/>
    <w:rsid w:val="00771870"/>
    <w:rsid w:val="0077649A"/>
    <w:rsid w:val="0079609C"/>
    <w:rsid w:val="007A6B42"/>
    <w:rsid w:val="007B2916"/>
    <w:rsid w:val="007B65AD"/>
    <w:rsid w:val="007D567C"/>
    <w:rsid w:val="007F345C"/>
    <w:rsid w:val="00816D09"/>
    <w:rsid w:val="008174F3"/>
    <w:rsid w:val="00824550"/>
    <w:rsid w:val="008311AD"/>
    <w:rsid w:val="00861E58"/>
    <w:rsid w:val="008658EE"/>
    <w:rsid w:val="00873E58"/>
    <w:rsid w:val="00876F9E"/>
    <w:rsid w:val="00877212"/>
    <w:rsid w:val="00893A31"/>
    <w:rsid w:val="00894ABD"/>
    <w:rsid w:val="008A27D5"/>
    <w:rsid w:val="008B5B0F"/>
    <w:rsid w:val="008D3907"/>
    <w:rsid w:val="008D786D"/>
    <w:rsid w:val="008E4F40"/>
    <w:rsid w:val="008E7F84"/>
    <w:rsid w:val="00910658"/>
    <w:rsid w:val="00913854"/>
    <w:rsid w:val="00920E30"/>
    <w:rsid w:val="0093456D"/>
    <w:rsid w:val="0094687F"/>
    <w:rsid w:val="00985BE3"/>
    <w:rsid w:val="009A1A58"/>
    <w:rsid w:val="009A1E1B"/>
    <w:rsid w:val="009A3CEE"/>
    <w:rsid w:val="009B0A84"/>
    <w:rsid w:val="009C03E2"/>
    <w:rsid w:val="009C2301"/>
    <w:rsid w:val="009D342D"/>
    <w:rsid w:val="009D4985"/>
    <w:rsid w:val="009D4A30"/>
    <w:rsid w:val="009D64A2"/>
    <w:rsid w:val="009E658F"/>
    <w:rsid w:val="009F7247"/>
    <w:rsid w:val="00A1614C"/>
    <w:rsid w:val="00A20B6F"/>
    <w:rsid w:val="00A427A8"/>
    <w:rsid w:val="00A72714"/>
    <w:rsid w:val="00AA16E7"/>
    <w:rsid w:val="00AC24C8"/>
    <w:rsid w:val="00B00702"/>
    <w:rsid w:val="00B1122A"/>
    <w:rsid w:val="00B33069"/>
    <w:rsid w:val="00B3663E"/>
    <w:rsid w:val="00B47B3C"/>
    <w:rsid w:val="00B50FFC"/>
    <w:rsid w:val="00B64CE0"/>
    <w:rsid w:val="00B66DEE"/>
    <w:rsid w:val="00B75BFC"/>
    <w:rsid w:val="00B80BC6"/>
    <w:rsid w:val="00B936F7"/>
    <w:rsid w:val="00BA5081"/>
    <w:rsid w:val="00BA78EF"/>
    <w:rsid w:val="00BB7CBA"/>
    <w:rsid w:val="00BC5E4D"/>
    <w:rsid w:val="00BE2A4A"/>
    <w:rsid w:val="00BE34DF"/>
    <w:rsid w:val="00BE3649"/>
    <w:rsid w:val="00BF3627"/>
    <w:rsid w:val="00C27181"/>
    <w:rsid w:val="00C3251D"/>
    <w:rsid w:val="00C40017"/>
    <w:rsid w:val="00C427A8"/>
    <w:rsid w:val="00C536AC"/>
    <w:rsid w:val="00C86674"/>
    <w:rsid w:val="00C86978"/>
    <w:rsid w:val="00C94188"/>
    <w:rsid w:val="00CA7DC2"/>
    <w:rsid w:val="00CB3817"/>
    <w:rsid w:val="00CC105A"/>
    <w:rsid w:val="00CD33CB"/>
    <w:rsid w:val="00CD5587"/>
    <w:rsid w:val="00CE098E"/>
    <w:rsid w:val="00CE25C1"/>
    <w:rsid w:val="00CF6499"/>
    <w:rsid w:val="00D01403"/>
    <w:rsid w:val="00D27781"/>
    <w:rsid w:val="00D44464"/>
    <w:rsid w:val="00D465C9"/>
    <w:rsid w:val="00D64650"/>
    <w:rsid w:val="00D86876"/>
    <w:rsid w:val="00D871A0"/>
    <w:rsid w:val="00D90043"/>
    <w:rsid w:val="00D90A20"/>
    <w:rsid w:val="00DA0181"/>
    <w:rsid w:val="00DA545D"/>
    <w:rsid w:val="00DA6011"/>
    <w:rsid w:val="00DC0E38"/>
    <w:rsid w:val="00DF674D"/>
    <w:rsid w:val="00E12BCD"/>
    <w:rsid w:val="00E160C6"/>
    <w:rsid w:val="00E43B2E"/>
    <w:rsid w:val="00E45891"/>
    <w:rsid w:val="00E47CB0"/>
    <w:rsid w:val="00E53A43"/>
    <w:rsid w:val="00E62619"/>
    <w:rsid w:val="00E65B2E"/>
    <w:rsid w:val="00EB581A"/>
    <w:rsid w:val="00EB599B"/>
    <w:rsid w:val="00ED6CD1"/>
    <w:rsid w:val="00EE3876"/>
    <w:rsid w:val="00EF0FFF"/>
    <w:rsid w:val="00F00FD1"/>
    <w:rsid w:val="00F03767"/>
    <w:rsid w:val="00F125D9"/>
    <w:rsid w:val="00F25A11"/>
    <w:rsid w:val="00F26E4B"/>
    <w:rsid w:val="00F45867"/>
    <w:rsid w:val="00F52D36"/>
    <w:rsid w:val="00F622F7"/>
    <w:rsid w:val="00F672F8"/>
    <w:rsid w:val="00F8237F"/>
    <w:rsid w:val="00F97167"/>
    <w:rsid w:val="00F97CB0"/>
    <w:rsid w:val="00FA7278"/>
    <w:rsid w:val="00FB5148"/>
    <w:rsid w:val="00FF157C"/>
    <w:rsid w:val="00FF3667"/>
    <w:rsid w:val="2F3FB992"/>
    <w:rsid w:val="5B79659E"/>
    <w:rsid w:val="5D1F60AD"/>
    <w:rsid w:val="5DF74624"/>
    <w:rsid w:val="5F1F8DB8"/>
    <w:rsid w:val="7C6034D6"/>
    <w:rsid w:val="7EF75425"/>
    <w:rsid w:val="CFADB39C"/>
    <w:rsid w:val="EFF9494F"/>
    <w:rsid w:val="FE3F5D18"/>
    <w:rsid w:val="FE9C4D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paragraph" w:styleId="3">
    <w:name w:val="Date"/>
    <w:basedOn w:val="1"/>
    <w:next w:val="1"/>
    <w:link w:val="9"/>
    <w:semiHidden/>
    <w:unhideWhenUsed/>
    <w:qFormat/>
    <w:uiPriority w:val="99"/>
    <w:pPr>
      <w:ind w:left="100" w:leftChars="25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日期 Char"/>
    <w:basedOn w:val="8"/>
    <w:link w:val="3"/>
    <w:semiHidden/>
    <w:uiPriority w:val="99"/>
  </w:style>
  <w:style w:type="character" w:customStyle="1" w:styleId="10">
    <w:name w:val="明显参考1"/>
    <w:basedOn w:val="8"/>
    <w:qFormat/>
    <w:uiPriority w:val="32"/>
    <w:rPr>
      <w:b/>
      <w:bCs/>
      <w:smallCaps/>
      <w:color w:val="C0504D" w:themeColor="accent2"/>
      <w:spacing w:val="5"/>
      <w:u w:val="single"/>
      <w14:textFill>
        <w14:solidFill>
          <w14:schemeClr w14:val="accent2"/>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8</Pages>
  <Words>515</Words>
  <Characters>2940</Characters>
  <Lines>24</Lines>
  <Paragraphs>6</Paragraphs>
  <TotalTime>1</TotalTime>
  <ScaleCrop>false</ScaleCrop>
  <LinksUpToDate>false</LinksUpToDate>
  <CharactersWithSpaces>3449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2022-09-23T23:06:00Z</dcterms:created>
  <dc:creator>周晔</dc:creator>
  <cp:lastModifiedBy>admin</cp:lastModifiedBy>
  <dcterms:modified xsi:type="dcterms:W3CDTF">2023-02-14T01:59:24Z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2052-11.8.2.9015</vt:lpwstr>
  </property>
</Properties>
</file>