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宋体"/>
          <w:kern w:val="0"/>
          <w:szCs w:val="21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附件：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微软雅黑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kern w:val="0"/>
          <w:sz w:val="36"/>
          <w:szCs w:val="36"/>
        </w:rPr>
        <w:t>行政执法统计年报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微软雅黑" w:eastAsia="方正小标宋简体" w:cs="宋体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微软雅黑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kern w:val="0"/>
          <w:sz w:val="44"/>
          <w:szCs w:val="44"/>
        </w:rPr>
        <w:t>温州市卫生健康委员会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微软雅黑" w:hAnsi="微软雅黑" w:eastAsia="微软雅黑" w:cs="宋体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kern w:val="0"/>
          <w:sz w:val="44"/>
          <w:szCs w:val="44"/>
        </w:rPr>
        <w:t>202</w:t>
      </w:r>
      <w:r>
        <w:rPr>
          <w:rFonts w:hint="eastAsia" w:ascii="方正小标宋简体" w:hAnsi="微软雅黑" w:eastAsia="方正小标宋简体" w:cs="宋体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微软雅黑" w:eastAsia="方正小标宋简体" w:cs="宋体"/>
          <w:kern w:val="0"/>
          <w:sz w:val="44"/>
          <w:szCs w:val="44"/>
        </w:rPr>
        <w:t>年度行政执法统计年报</w:t>
      </w:r>
    </w:p>
    <w:p>
      <w:pPr>
        <w:widowControl/>
        <w:shd w:val="clear" w:color="auto" w:fill="FFFFFF"/>
        <w:spacing w:line="420" w:lineRule="atLeast"/>
        <w:jc w:val="left"/>
        <w:rPr>
          <w:rFonts w:hint="eastAsia" w:ascii="方正小标宋简体" w:hAnsi="微软雅黑" w:eastAsia="方正小标宋简体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420" w:lineRule="atLeast"/>
        <w:jc w:val="left"/>
        <w:rPr>
          <w:rFonts w:hint="eastAsia" w:ascii="方正小标宋简体" w:hAnsi="微软雅黑" w:eastAsia="方正小标宋简体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420" w:lineRule="atLeast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方正小标宋简体" w:hAnsi="微软雅黑" w:eastAsia="方正小标宋简体" w:cs="宋体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420" w:lineRule="atLeast"/>
        <w:jc w:val="center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目</w:t>
      </w:r>
      <w:r>
        <w:rPr>
          <w:rFonts w:ascii="Calibri" w:hAnsi="Calibri" w:eastAsia="黑体" w:cs="Calibri"/>
          <w:kern w:val="0"/>
          <w:sz w:val="32"/>
          <w:szCs w:val="32"/>
        </w:rPr>
        <w:t>   </w:t>
      </w:r>
      <w:r>
        <w:rPr>
          <w:rFonts w:hint="eastAsia" w:ascii="黑体" w:hAnsi="黑体" w:eastAsia="黑体" w:cs="黑体"/>
          <w:kern w:val="0"/>
          <w:sz w:val="32"/>
          <w:szCs w:val="32"/>
        </w:rPr>
        <w:t>录</w:t>
      </w:r>
    </w:p>
    <w:p>
      <w:pPr>
        <w:widowControl/>
        <w:shd w:val="clear" w:color="auto" w:fill="FFFFFF"/>
        <w:spacing w:line="420" w:lineRule="atLeast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420" w:lineRule="atLeast"/>
        <w:ind w:firstLine="645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第一部分  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温州市卫健委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2022</w:t>
      </w:r>
      <w:r>
        <w:rPr>
          <w:rFonts w:hint="eastAsia" w:ascii="黑体" w:hAnsi="黑体" w:eastAsia="黑体" w:cs="黑体"/>
          <w:kern w:val="0"/>
          <w:sz w:val="32"/>
          <w:szCs w:val="32"/>
        </w:rPr>
        <w:t>年度行政执法数据表</w:t>
      </w:r>
    </w:p>
    <w:p>
      <w:pPr>
        <w:widowControl/>
        <w:shd w:val="clear" w:color="auto" w:fill="FFFFFF"/>
        <w:spacing w:line="420" w:lineRule="atLeast"/>
        <w:ind w:firstLine="645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一、行政处罚实施情况统计表</w:t>
      </w:r>
    </w:p>
    <w:p>
      <w:pPr>
        <w:widowControl/>
        <w:shd w:val="clear" w:color="auto" w:fill="FFFFFF"/>
        <w:spacing w:line="420" w:lineRule="atLeast"/>
        <w:ind w:firstLine="645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二、行政许可实施情况统计表</w:t>
      </w:r>
    </w:p>
    <w:p>
      <w:pPr>
        <w:widowControl/>
        <w:shd w:val="clear" w:color="auto" w:fill="FFFFFF"/>
        <w:spacing w:line="420" w:lineRule="atLeast"/>
        <w:ind w:firstLine="645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三、行政强制实施情况统计表</w:t>
      </w:r>
    </w:p>
    <w:p>
      <w:pPr>
        <w:widowControl/>
        <w:shd w:val="clear" w:color="auto" w:fill="FFFFFF"/>
        <w:spacing w:line="420" w:lineRule="atLeast"/>
        <w:ind w:firstLine="645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四、其他行政执法行为实施情况统计表</w:t>
      </w:r>
    </w:p>
    <w:p>
      <w:pPr>
        <w:widowControl/>
        <w:shd w:val="clear" w:color="auto" w:fill="FFFFFF"/>
        <w:spacing w:line="420" w:lineRule="atLeast"/>
        <w:ind w:firstLine="645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第二部分  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温州市卫健委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2022</w:t>
      </w:r>
      <w:r>
        <w:rPr>
          <w:rFonts w:hint="eastAsia" w:ascii="黑体" w:hAnsi="黑体" w:eastAsia="黑体" w:cs="黑体"/>
          <w:kern w:val="0"/>
          <w:sz w:val="32"/>
          <w:szCs w:val="32"/>
        </w:rPr>
        <w:t>年度行政执法总体情况</w:t>
      </w:r>
    </w:p>
    <w:p>
      <w:pPr>
        <w:widowControl/>
        <w:shd w:val="clear" w:color="auto" w:fill="FFFFFF"/>
        <w:spacing w:line="420" w:lineRule="atLeast"/>
        <w:ind w:firstLine="645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420" w:lineRule="atLeast"/>
        <w:ind w:firstLine="645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420" w:lineRule="atLeast"/>
        <w:ind w:firstLine="645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420" w:lineRule="atLeast"/>
        <w:ind w:firstLine="645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420" w:lineRule="atLeast"/>
        <w:ind w:firstLine="645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420" w:lineRule="atLeast"/>
        <w:ind w:firstLine="645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420" w:lineRule="atLeast"/>
        <w:jc w:val="left"/>
        <w:rPr>
          <w:rFonts w:ascii="微软雅黑" w:hAnsi="微软雅黑" w:eastAsia="微软雅黑" w:cs="宋体"/>
          <w:kern w:val="0"/>
          <w:sz w:val="23"/>
          <w:szCs w:val="23"/>
        </w:rPr>
      </w:pPr>
      <w:bookmarkStart w:id="0" w:name="_GoBack"/>
      <w:bookmarkEnd w:id="0"/>
    </w:p>
    <w:p>
      <w:pPr>
        <w:widowControl/>
        <w:shd w:val="clear" w:color="auto" w:fill="FFFFFF"/>
        <w:spacing w:line="420" w:lineRule="atLeast"/>
        <w:jc w:val="center"/>
        <w:rPr>
          <w:rFonts w:ascii="微软雅黑" w:hAnsi="微软雅黑" w:eastAsia="微软雅黑" w:cs="宋体"/>
          <w:kern w:val="0"/>
          <w:sz w:val="36"/>
          <w:szCs w:val="36"/>
        </w:rPr>
      </w:pPr>
      <w:r>
        <w:rPr>
          <w:rFonts w:hint="eastAsia" w:ascii="方正小标宋简体" w:hAnsi="微软雅黑" w:eastAsia="方正小标宋简体" w:cs="宋体"/>
          <w:kern w:val="0"/>
          <w:sz w:val="36"/>
          <w:szCs w:val="36"/>
        </w:rPr>
        <w:t xml:space="preserve">第一部分  </w:t>
      </w:r>
      <w:r>
        <w:rPr>
          <w:rFonts w:hint="eastAsia" w:ascii="方正小标宋简体" w:hAnsi="微软雅黑" w:eastAsia="方正小标宋简体" w:cs="宋体"/>
          <w:kern w:val="0"/>
          <w:sz w:val="36"/>
          <w:szCs w:val="36"/>
          <w:lang w:eastAsia="zh-CN"/>
        </w:rPr>
        <w:t>温州市卫健委</w:t>
      </w:r>
      <w:r>
        <w:rPr>
          <w:rFonts w:hint="eastAsia" w:ascii="方正小标宋简体" w:hAnsi="微软雅黑" w:eastAsia="方正小标宋简体" w:cs="宋体"/>
          <w:kern w:val="0"/>
          <w:sz w:val="36"/>
          <w:szCs w:val="36"/>
          <w:lang w:val="en-US" w:eastAsia="zh-CN"/>
        </w:rPr>
        <w:t>2022</w:t>
      </w:r>
      <w:r>
        <w:rPr>
          <w:rFonts w:hint="eastAsia" w:ascii="方正小标宋简体" w:hAnsi="微软雅黑" w:eastAsia="方正小标宋简体" w:cs="宋体"/>
          <w:kern w:val="0"/>
          <w:sz w:val="36"/>
          <w:szCs w:val="36"/>
        </w:rPr>
        <w:t>年度行政执法数据表</w:t>
      </w:r>
    </w:p>
    <w:p>
      <w:pPr>
        <w:widowControl/>
        <w:shd w:val="clear" w:color="auto" w:fill="FFFFFF"/>
        <w:spacing w:line="420" w:lineRule="atLeast"/>
        <w:ind w:firstLine="645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420" w:lineRule="atLeast"/>
        <w:jc w:val="left"/>
        <w:rPr>
          <w:rFonts w:hint="eastAsia"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表一</w:t>
      </w:r>
    </w:p>
    <w:p>
      <w:pPr>
        <w:widowControl/>
        <w:shd w:val="clear" w:color="auto" w:fill="FFFFFF"/>
        <w:spacing w:line="420" w:lineRule="atLeast"/>
        <w:jc w:val="center"/>
        <w:rPr>
          <w:rFonts w:ascii="微软雅黑" w:hAnsi="微软雅黑" w:eastAsia="微软雅黑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  <w:lang w:eastAsia="zh-CN"/>
        </w:rPr>
        <w:t>温州市卫健委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2022</w:t>
      </w:r>
      <w:r>
        <w:rPr>
          <w:rFonts w:hint="eastAsia" w:ascii="黑体" w:hAnsi="黑体" w:eastAsia="黑体" w:cs="宋体"/>
          <w:kern w:val="0"/>
          <w:sz w:val="32"/>
          <w:szCs w:val="32"/>
        </w:rPr>
        <w:t>年度行政处罚实施情况统计表</w:t>
      </w:r>
    </w:p>
    <w:tbl>
      <w:tblPr>
        <w:tblStyle w:val="2"/>
        <w:tblW w:w="0" w:type="auto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567"/>
        <w:gridCol w:w="1276"/>
        <w:gridCol w:w="1497"/>
        <w:gridCol w:w="1525"/>
        <w:gridCol w:w="662"/>
        <w:gridCol w:w="739"/>
        <w:gridCol w:w="1056"/>
        <w:gridCol w:w="8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tblCellSpacing w:w="0" w:type="dxa"/>
          <w:jc w:val="center"/>
        </w:trPr>
        <w:tc>
          <w:tcPr>
            <w:tcW w:w="889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行政处罚实施数量（宗）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tblCellSpacing w:w="0" w:type="dxa"/>
          <w:jc w:val="center"/>
        </w:trPr>
        <w:tc>
          <w:tcPr>
            <w:tcW w:w="7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警告、通报批评</w:t>
            </w:r>
          </w:p>
        </w:tc>
        <w:tc>
          <w:tcPr>
            <w:tcW w:w="5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罚款</w:t>
            </w: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没收违法</w:t>
            </w:r>
          </w:p>
          <w:p>
            <w:pPr>
              <w:widowControl/>
              <w:spacing w:line="42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所得、没收非法财物</w:t>
            </w:r>
          </w:p>
        </w:tc>
        <w:tc>
          <w:tcPr>
            <w:tcW w:w="14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暂扣许可证件、降低资质等级、吊销许可证件</w:t>
            </w:r>
          </w:p>
        </w:tc>
        <w:tc>
          <w:tcPr>
            <w:tcW w:w="15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限制开展生产经营活动、责令停产停业、责令关闭、限制从业</w:t>
            </w:r>
          </w:p>
        </w:tc>
        <w:tc>
          <w:tcPr>
            <w:tcW w:w="6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行政</w:t>
            </w:r>
          </w:p>
          <w:p>
            <w:pPr>
              <w:widowControl/>
              <w:spacing w:line="42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拘留</w:t>
            </w:r>
          </w:p>
        </w:tc>
        <w:tc>
          <w:tcPr>
            <w:tcW w:w="7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其他行政处罚</w:t>
            </w:r>
          </w:p>
        </w:tc>
        <w:tc>
          <w:tcPr>
            <w:tcW w:w="10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合计（宗）</w:t>
            </w:r>
          </w:p>
        </w:tc>
        <w:tc>
          <w:tcPr>
            <w:tcW w:w="8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罚没金额（万元）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709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52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98.43</w:t>
            </w:r>
          </w:p>
        </w:tc>
      </w:tr>
    </w:tbl>
    <w:p>
      <w:pPr>
        <w:widowControl/>
        <w:shd w:val="clear" w:color="auto" w:fill="FFFFFF"/>
        <w:spacing w:line="420" w:lineRule="atLeast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仿宋_GB2312" w:hAnsi="微软雅黑" w:eastAsia="仿宋_GB2312" w:cs="宋体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hAnsi="微软雅黑" w:eastAsia="微软雅黑" w:cs="宋体"/>
          <w:kern w:val="0"/>
          <w:sz w:val="22"/>
        </w:rPr>
      </w:pPr>
      <w:r>
        <w:rPr>
          <w:rFonts w:hint="eastAsia" w:ascii="仿宋_GB2312" w:hAnsi="微软雅黑" w:eastAsia="仿宋_GB2312" w:cs="宋体"/>
          <w:kern w:val="0"/>
          <w:szCs w:val="21"/>
        </w:rPr>
        <w:t>说明：</w:t>
      </w:r>
    </w:p>
    <w:p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ascii="仿宋_GB2312" w:hAnsi="微软雅黑" w:eastAsia="仿宋_GB2312" w:cs="宋体"/>
          <w:kern w:val="0"/>
          <w:sz w:val="24"/>
          <w:szCs w:val="24"/>
        </w:rPr>
        <w:t>1</w:t>
      </w:r>
      <w:r>
        <w:rPr>
          <w:rFonts w:hint="eastAsia" w:ascii="仿宋_GB2312" w:hAnsi="微软雅黑" w:eastAsia="仿宋_GB2312" w:cs="宋体"/>
          <w:kern w:val="0"/>
          <w:sz w:val="24"/>
          <w:szCs w:val="24"/>
        </w:rPr>
        <w:t>.单处一个类别行政处罚的，计入相应的行政处罚类别；并处两种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，（2）罚款，（3）没收违法所得、没收非法财物，（4）暂扣许可证件、降低资质等级、吊销许可证件，（5）限制开展生产经营活动、责令停产停业、责令关闭、限制从业，（6）行政拘留。</w:t>
      </w:r>
    </w:p>
    <w:p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ascii="仿宋_GB2312" w:hAnsi="微软雅黑" w:eastAsia="仿宋_GB2312" w:cs="宋体"/>
          <w:kern w:val="0"/>
          <w:sz w:val="24"/>
          <w:szCs w:val="24"/>
        </w:rPr>
        <w:t>2</w:t>
      </w:r>
      <w:r>
        <w:rPr>
          <w:rFonts w:hint="eastAsia" w:ascii="仿宋_GB2312" w:hAnsi="微软雅黑" w:eastAsia="仿宋_GB2312" w:cs="宋体"/>
          <w:kern w:val="0"/>
          <w:sz w:val="24"/>
          <w:szCs w:val="24"/>
        </w:rPr>
        <w:t>.“没收非法财物”能通过评估、拍卖等手段确定金额的，计入“罚没金额”；不能确定金额的，不计入“罚没金额”。</w:t>
      </w:r>
    </w:p>
    <w:p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ascii="仿宋_GB2312" w:hAnsi="微软雅黑" w:eastAsia="仿宋_GB2312" w:cs="宋体"/>
          <w:kern w:val="0"/>
          <w:sz w:val="24"/>
          <w:szCs w:val="24"/>
        </w:rPr>
        <w:t>3</w:t>
      </w:r>
      <w:r>
        <w:rPr>
          <w:rFonts w:hint="eastAsia" w:ascii="仿宋_GB2312" w:hAnsi="微软雅黑" w:eastAsia="仿宋_GB2312" w:cs="宋体"/>
          <w:kern w:val="0"/>
          <w:sz w:val="24"/>
          <w:szCs w:val="24"/>
        </w:rPr>
        <w:t>.“罚没金额”以处罚决定书确定的金额为准。</w:t>
      </w:r>
    </w:p>
    <w:p>
      <w:pPr>
        <w:widowControl/>
        <w:shd w:val="clear" w:color="auto" w:fill="FFFFFF"/>
        <w:spacing w:line="420" w:lineRule="atLeast"/>
        <w:jc w:val="left"/>
        <w:rPr>
          <w:rFonts w:ascii="仿宋_GB2312" w:hAnsi="微软雅黑" w:eastAsia="仿宋_GB2312" w:cs="宋体"/>
          <w:kern w:val="0"/>
          <w:sz w:val="20"/>
          <w:szCs w:val="20"/>
        </w:rPr>
      </w:pPr>
    </w:p>
    <w:p>
      <w:pPr>
        <w:widowControl/>
        <w:shd w:val="clear" w:color="auto" w:fill="FFFFFF"/>
        <w:spacing w:line="420" w:lineRule="atLeast"/>
        <w:jc w:val="left"/>
        <w:rPr>
          <w:rFonts w:ascii="仿宋_GB2312" w:hAnsi="微软雅黑" w:eastAsia="仿宋_GB2312" w:cs="宋体"/>
          <w:kern w:val="0"/>
          <w:sz w:val="20"/>
          <w:szCs w:val="20"/>
        </w:rPr>
      </w:pPr>
    </w:p>
    <w:p>
      <w:pPr>
        <w:widowControl/>
        <w:shd w:val="clear" w:color="auto" w:fill="FFFFFF"/>
        <w:spacing w:line="420" w:lineRule="atLeast"/>
        <w:jc w:val="left"/>
        <w:rPr>
          <w:rFonts w:ascii="仿宋_GB2312" w:hAnsi="微软雅黑" w:eastAsia="仿宋_GB2312" w:cs="宋体"/>
          <w:kern w:val="0"/>
          <w:sz w:val="20"/>
          <w:szCs w:val="20"/>
        </w:rPr>
      </w:pPr>
    </w:p>
    <w:p>
      <w:pPr>
        <w:widowControl/>
        <w:shd w:val="clear" w:color="auto" w:fill="FFFFFF"/>
        <w:spacing w:line="420" w:lineRule="atLeast"/>
        <w:jc w:val="left"/>
        <w:rPr>
          <w:rFonts w:ascii="仿宋_GB2312" w:hAnsi="微软雅黑" w:eastAsia="仿宋_GB2312" w:cs="宋体"/>
          <w:kern w:val="0"/>
          <w:sz w:val="20"/>
          <w:szCs w:val="20"/>
        </w:rPr>
      </w:pPr>
    </w:p>
    <w:p>
      <w:pPr>
        <w:widowControl/>
        <w:shd w:val="clear" w:color="auto" w:fill="FFFFFF"/>
        <w:spacing w:line="420" w:lineRule="atLeast"/>
        <w:jc w:val="left"/>
        <w:rPr>
          <w:rFonts w:ascii="仿宋_GB2312" w:hAnsi="微软雅黑" w:eastAsia="仿宋_GB2312" w:cs="宋体"/>
          <w:kern w:val="0"/>
          <w:sz w:val="20"/>
          <w:szCs w:val="20"/>
        </w:rPr>
      </w:pPr>
    </w:p>
    <w:p>
      <w:pPr>
        <w:widowControl/>
        <w:shd w:val="clear" w:color="auto" w:fill="FFFFFF"/>
        <w:spacing w:line="420" w:lineRule="atLeast"/>
        <w:jc w:val="left"/>
        <w:rPr>
          <w:rFonts w:hint="eastAsia"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表二</w:t>
      </w:r>
    </w:p>
    <w:p>
      <w:pPr>
        <w:widowControl/>
        <w:shd w:val="clear" w:color="auto" w:fill="FFFFFF"/>
        <w:spacing w:line="420" w:lineRule="atLeast"/>
        <w:jc w:val="center"/>
        <w:rPr>
          <w:rFonts w:ascii="微软雅黑" w:hAnsi="微软雅黑" w:eastAsia="微软雅黑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  <w:lang w:eastAsia="zh-CN"/>
        </w:rPr>
        <w:t>温州市卫健委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2022</w:t>
      </w:r>
      <w:r>
        <w:rPr>
          <w:rFonts w:hint="eastAsia" w:ascii="黑体" w:hAnsi="黑体" w:eastAsia="黑体" w:cs="宋体"/>
          <w:kern w:val="0"/>
          <w:sz w:val="32"/>
          <w:szCs w:val="32"/>
        </w:rPr>
        <w:t>年度行政许可实施情况统计表</w:t>
      </w:r>
    </w:p>
    <w:p>
      <w:pPr>
        <w:widowControl/>
        <w:shd w:val="clear" w:color="auto" w:fill="FFFFFF"/>
        <w:spacing w:line="420" w:lineRule="atLeast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 </w:t>
      </w:r>
    </w:p>
    <w:tbl>
      <w:tblPr>
        <w:tblStyle w:val="2"/>
        <w:tblW w:w="0" w:type="auto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1"/>
        <w:gridCol w:w="1889"/>
        <w:gridCol w:w="1720"/>
        <w:gridCol w:w="1551"/>
        <w:gridCol w:w="15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9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</w:rPr>
              <w:t>行政许可实施数量（宗）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</w:rPr>
              <w:t>申请数量</w:t>
            </w:r>
          </w:p>
        </w:tc>
        <w:tc>
          <w:tcPr>
            <w:tcW w:w="18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</w:rPr>
              <w:t>受理数量</w:t>
            </w:r>
          </w:p>
        </w:tc>
        <w:tc>
          <w:tcPr>
            <w:tcW w:w="1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</w:rPr>
              <w:t>许可数量</w:t>
            </w:r>
          </w:p>
        </w:tc>
        <w:tc>
          <w:tcPr>
            <w:tcW w:w="15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</w:rPr>
              <w:t>不予许可数量</w:t>
            </w:r>
          </w:p>
        </w:tc>
        <w:tc>
          <w:tcPr>
            <w:tcW w:w="157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</w:rPr>
              <w:t>撤销许可数量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tblCellSpacing w:w="0" w:type="dxa"/>
          <w:jc w:val="center"/>
        </w:trPr>
        <w:tc>
          <w:tcPr>
            <w:tcW w:w="15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>5356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>4930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>4930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tblCellSpacing w:w="0" w:type="dxa"/>
          <w:jc w:val="center"/>
        </w:trPr>
        <w:tc>
          <w:tcPr>
            <w:tcW w:w="8290" w:type="dxa"/>
            <w:gridSpan w:val="5"/>
            <w:noWrap w:val="0"/>
            <w:vAlign w:val="top"/>
          </w:tcPr>
          <w:p>
            <w:pPr>
              <w:widowControl/>
              <w:spacing w:line="420" w:lineRule="atLeast"/>
              <w:jc w:val="left"/>
              <w:rPr>
                <w:rFonts w:ascii="仿宋_GB2312" w:hAnsi="微软雅黑" w:eastAsia="仿宋_GB2312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line="420" w:lineRule="atLeast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仿宋_GB2312" w:hAnsi="微软雅黑" w:eastAsia="仿宋_GB2312" w:cs="宋体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line="420" w:lineRule="atLeast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420" w:lineRule="atLeast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420" w:lineRule="atLeast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420" w:lineRule="atLeast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420" w:lineRule="atLeast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420" w:lineRule="atLeast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420" w:lineRule="atLeast"/>
        <w:jc w:val="left"/>
        <w:rPr>
          <w:rFonts w:ascii="仿宋_GB2312" w:hAnsi="微软雅黑" w:eastAsia="仿宋_GB2312" w:cs="宋体"/>
          <w:kern w:val="0"/>
          <w:sz w:val="20"/>
          <w:szCs w:val="20"/>
        </w:rPr>
      </w:pPr>
    </w:p>
    <w:p>
      <w:pPr>
        <w:widowControl/>
        <w:shd w:val="clear" w:color="auto" w:fill="FFFFFF"/>
        <w:spacing w:line="420" w:lineRule="atLeast"/>
        <w:jc w:val="left"/>
        <w:rPr>
          <w:rFonts w:ascii="仿宋_GB2312" w:hAnsi="微软雅黑" w:eastAsia="仿宋_GB2312" w:cs="宋体"/>
          <w:kern w:val="0"/>
          <w:sz w:val="20"/>
          <w:szCs w:val="20"/>
        </w:rPr>
      </w:pPr>
    </w:p>
    <w:p>
      <w:pPr>
        <w:widowControl/>
        <w:shd w:val="clear" w:color="auto" w:fill="FFFFFF"/>
        <w:spacing w:line="420" w:lineRule="atLeast"/>
        <w:jc w:val="left"/>
        <w:rPr>
          <w:rFonts w:ascii="仿宋_GB2312" w:hAnsi="微软雅黑" w:eastAsia="仿宋_GB2312" w:cs="宋体"/>
          <w:kern w:val="0"/>
          <w:sz w:val="20"/>
          <w:szCs w:val="20"/>
        </w:rPr>
      </w:pPr>
    </w:p>
    <w:p>
      <w:pPr>
        <w:widowControl/>
        <w:shd w:val="clear" w:color="auto" w:fill="FFFFFF"/>
        <w:spacing w:line="420" w:lineRule="atLeast"/>
        <w:jc w:val="left"/>
        <w:rPr>
          <w:rFonts w:ascii="仿宋_GB2312" w:hAnsi="微软雅黑" w:eastAsia="仿宋_GB2312" w:cs="宋体"/>
          <w:kern w:val="0"/>
          <w:sz w:val="20"/>
          <w:szCs w:val="20"/>
        </w:rPr>
      </w:pPr>
    </w:p>
    <w:p>
      <w:pPr>
        <w:widowControl/>
        <w:shd w:val="clear" w:color="auto" w:fill="FFFFFF"/>
        <w:spacing w:line="420" w:lineRule="atLeast"/>
        <w:jc w:val="left"/>
        <w:rPr>
          <w:rFonts w:ascii="仿宋_GB2312" w:hAnsi="微软雅黑" w:eastAsia="仿宋_GB2312" w:cs="宋体"/>
          <w:kern w:val="0"/>
          <w:sz w:val="20"/>
          <w:szCs w:val="20"/>
        </w:rPr>
      </w:pPr>
    </w:p>
    <w:p>
      <w:pPr>
        <w:widowControl/>
        <w:shd w:val="clear" w:color="auto" w:fill="FFFFFF"/>
        <w:spacing w:line="420" w:lineRule="atLeast"/>
        <w:jc w:val="left"/>
        <w:rPr>
          <w:rFonts w:ascii="仿宋_GB2312" w:hAnsi="微软雅黑" w:eastAsia="仿宋_GB2312" w:cs="宋体"/>
          <w:kern w:val="0"/>
          <w:sz w:val="20"/>
          <w:szCs w:val="20"/>
        </w:rPr>
      </w:pPr>
    </w:p>
    <w:p>
      <w:pPr>
        <w:widowControl/>
        <w:shd w:val="clear" w:color="auto" w:fill="FFFFFF"/>
        <w:spacing w:line="420" w:lineRule="atLeast"/>
        <w:jc w:val="left"/>
        <w:rPr>
          <w:rFonts w:ascii="仿宋_GB2312" w:hAnsi="微软雅黑" w:eastAsia="仿宋_GB2312" w:cs="宋体"/>
          <w:kern w:val="0"/>
          <w:sz w:val="20"/>
          <w:szCs w:val="20"/>
        </w:rPr>
      </w:pPr>
    </w:p>
    <w:p>
      <w:pPr>
        <w:widowControl/>
        <w:shd w:val="clear" w:color="auto" w:fill="FFFFFF"/>
        <w:spacing w:line="420" w:lineRule="atLeast"/>
        <w:jc w:val="left"/>
        <w:rPr>
          <w:rFonts w:ascii="仿宋_GB2312" w:hAnsi="微软雅黑" w:eastAsia="仿宋_GB2312" w:cs="宋体"/>
          <w:kern w:val="0"/>
          <w:sz w:val="20"/>
          <w:szCs w:val="20"/>
        </w:rPr>
      </w:pPr>
    </w:p>
    <w:p>
      <w:pPr>
        <w:widowControl/>
        <w:shd w:val="clear" w:color="auto" w:fill="FFFFFF"/>
        <w:spacing w:line="420" w:lineRule="atLeast"/>
        <w:jc w:val="left"/>
        <w:rPr>
          <w:rFonts w:ascii="仿宋_GB2312" w:hAnsi="微软雅黑" w:eastAsia="仿宋_GB2312" w:cs="宋体"/>
          <w:kern w:val="0"/>
          <w:sz w:val="20"/>
          <w:szCs w:val="20"/>
        </w:rPr>
      </w:pPr>
    </w:p>
    <w:p>
      <w:pPr>
        <w:widowControl/>
        <w:shd w:val="clear" w:color="auto" w:fill="FFFFFF"/>
        <w:spacing w:line="420" w:lineRule="atLeast"/>
        <w:jc w:val="left"/>
        <w:rPr>
          <w:rFonts w:ascii="仿宋_GB2312" w:hAnsi="微软雅黑" w:eastAsia="仿宋_GB2312" w:cs="宋体"/>
          <w:kern w:val="0"/>
          <w:sz w:val="20"/>
          <w:szCs w:val="20"/>
        </w:rPr>
      </w:pPr>
    </w:p>
    <w:p>
      <w:pPr>
        <w:widowControl/>
        <w:shd w:val="clear" w:color="auto" w:fill="FFFFFF"/>
        <w:spacing w:line="420" w:lineRule="atLeast"/>
        <w:jc w:val="left"/>
        <w:rPr>
          <w:rFonts w:ascii="仿宋_GB2312" w:hAnsi="微软雅黑" w:eastAsia="仿宋_GB2312" w:cs="宋体"/>
          <w:kern w:val="0"/>
          <w:sz w:val="20"/>
          <w:szCs w:val="20"/>
        </w:rPr>
      </w:pPr>
    </w:p>
    <w:p>
      <w:pPr>
        <w:widowControl/>
        <w:shd w:val="clear" w:color="auto" w:fill="FFFFFF"/>
        <w:spacing w:line="420" w:lineRule="atLeast"/>
        <w:jc w:val="left"/>
        <w:rPr>
          <w:rFonts w:ascii="仿宋_GB2312" w:hAnsi="微软雅黑" w:eastAsia="仿宋_GB2312" w:cs="宋体"/>
          <w:kern w:val="0"/>
          <w:sz w:val="20"/>
          <w:szCs w:val="20"/>
        </w:rPr>
      </w:pPr>
    </w:p>
    <w:p>
      <w:pPr>
        <w:widowControl/>
        <w:shd w:val="clear" w:color="auto" w:fill="FFFFFF"/>
        <w:spacing w:line="420" w:lineRule="atLeast"/>
        <w:jc w:val="left"/>
        <w:rPr>
          <w:rFonts w:ascii="仿宋_GB2312" w:hAnsi="微软雅黑" w:eastAsia="仿宋_GB2312" w:cs="宋体"/>
          <w:kern w:val="0"/>
          <w:sz w:val="20"/>
          <w:szCs w:val="20"/>
        </w:rPr>
      </w:pPr>
    </w:p>
    <w:p>
      <w:pPr>
        <w:widowControl/>
        <w:shd w:val="clear" w:color="auto" w:fill="FFFFFF"/>
        <w:spacing w:line="420" w:lineRule="atLeast"/>
        <w:jc w:val="left"/>
        <w:rPr>
          <w:rFonts w:hint="eastAsia"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表三</w:t>
      </w:r>
    </w:p>
    <w:p>
      <w:pPr>
        <w:widowControl/>
        <w:shd w:val="clear" w:color="auto" w:fill="FFFFFF"/>
        <w:spacing w:line="420" w:lineRule="atLeast"/>
        <w:jc w:val="center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  <w:lang w:eastAsia="zh-CN"/>
        </w:rPr>
        <w:t>温州市卫健委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2022</w:t>
      </w:r>
      <w:r>
        <w:rPr>
          <w:rFonts w:hint="eastAsia" w:ascii="黑体" w:hAnsi="黑体" w:eastAsia="黑体" w:cs="宋体"/>
          <w:kern w:val="0"/>
          <w:sz w:val="32"/>
          <w:szCs w:val="32"/>
        </w:rPr>
        <w:t>年度行政强制实施情况统计表</w:t>
      </w:r>
    </w:p>
    <w:p>
      <w:pPr>
        <w:widowControl/>
        <w:shd w:val="clear" w:color="auto" w:fill="FFFFFF"/>
        <w:spacing w:line="420" w:lineRule="atLeast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 </w:t>
      </w:r>
    </w:p>
    <w:tbl>
      <w:tblPr>
        <w:tblStyle w:val="2"/>
        <w:tblW w:w="8552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"/>
        <w:gridCol w:w="695"/>
        <w:gridCol w:w="823"/>
        <w:gridCol w:w="696"/>
        <w:gridCol w:w="705"/>
        <w:gridCol w:w="678"/>
        <w:gridCol w:w="959"/>
        <w:gridCol w:w="818"/>
        <w:gridCol w:w="619"/>
        <w:gridCol w:w="619"/>
        <w:gridCol w:w="619"/>
        <w:gridCol w:w="4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0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行政强制措施实施数量（宗）</w:t>
            </w:r>
          </w:p>
        </w:tc>
        <w:tc>
          <w:tcPr>
            <w:tcW w:w="5017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行政强制执行实施数量（宗）</w:t>
            </w:r>
          </w:p>
        </w:tc>
        <w:tc>
          <w:tcPr>
            <w:tcW w:w="48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查封场所、设施或者财物</w:t>
            </w:r>
          </w:p>
        </w:tc>
        <w:tc>
          <w:tcPr>
            <w:tcW w:w="6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扣押财物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冻结存款、汇款</w:t>
            </w:r>
          </w:p>
        </w:tc>
        <w:tc>
          <w:tcPr>
            <w:tcW w:w="69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其他行政强制措施</w:t>
            </w:r>
          </w:p>
        </w:tc>
        <w:tc>
          <w:tcPr>
            <w:tcW w:w="4398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行政机关强制执行</w:t>
            </w:r>
          </w:p>
        </w:tc>
        <w:tc>
          <w:tcPr>
            <w:tcW w:w="61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申请法院强制执行</w:t>
            </w:r>
          </w:p>
        </w:tc>
        <w:tc>
          <w:tcPr>
            <w:tcW w:w="48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rPr>
          <w:tblCellSpacing w:w="0" w:type="dxa"/>
          <w:jc w:val="center"/>
        </w:trPr>
        <w:tc>
          <w:tcPr>
            <w:tcW w:w="83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加处罚款或者滞纳金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划拨存款、汇款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拍卖或者依法处理查封、扣押的场所、设施或者财物</w:t>
            </w:r>
          </w:p>
        </w:tc>
        <w:tc>
          <w:tcPr>
            <w:tcW w:w="8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排除妨碍、恢复原状</w:t>
            </w:r>
          </w:p>
        </w:tc>
        <w:tc>
          <w:tcPr>
            <w:tcW w:w="6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代履行</w:t>
            </w:r>
          </w:p>
        </w:tc>
        <w:tc>
          <w:tcPr>
            <w:tcW w:w="6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其他强制执行</w:t>
            </w:r>
          </w:p>
        </w:tc>
        <w:tc>
          <w:tcPr>
            <w:tcW w:w="61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48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spacing w:line="420" w:lineRule="atLeast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仿宋_GB2312" w:hAnsi="微软雅黑" w:eastAsia="仿宋_GB2312" w:cs="宋体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line="420" w:lineRule="atLeast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仿宋_GB2312" w:hAnsi="微软雅黑" w:eastAsia="仿宋_GB2312" w:cs="宋体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line="420" w:lineRule="atLeast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420" w:lineRule="atLeast"/>
        <w:jc w:val="left"/>
        <w:rPr>
          <w:rFonts w:ascii="仿宋_GB2312" w:hAnsi="微软雅黑" w:eastAsia="仿宋_GB2312" w:cs="宋体"/>
          <w:kern w:val="0"/>
          <w:sz w:val="20"/>
          <w:szCs w:val="20"/>
        </w:rPr>
      </w:pPr>
    </w:p>
    <w:p>
      <w:pPr>
        <w:widowControl/>
        <w:shd w:val="clear" w:color="auto" w:fill="FFFFFF"/>
        <w:spacing w:line="420" w:lineRule="atLeast"/>
        <w:jc w:val="left"/>
        <w:rPr>
          <w:rFonts w:ascii="仿宋_GB2312" w:hAnsi="微软雅黑" w:eastAsia="仿宋_GB2312" w:cs="宋体"/>
          <w:kern w:val="0"/>
          <w:sz w:val="20"/>
          <w:szCs w:val="20"/>
        </w:rPr>
      </w:pPr>
    </w:p>
    <w:p>
      <w:pPr>
        <w:widowControl/>
        <w:shd w:val="clear" w:color="auto" w:fill="FFFFFF"/>
        <w:spacing w:line="420" w:lineRule="atLeast"/>
        <w:jc w:val="left"/>
        <w:rPr>
          <w:rFonts w:ascii="仿宋_GB2312" w:hAnsi="微软雅黑" w:eastAsia="仿宋_GB2312" w:cs="宋体"/>
          <w:kern w:val="0"/>
          <w:sz w:val="20"/>
          <w:szCs w:val="20"/>
        </w:rPr>
      </w:pPr>
    </w:p>
    <w:p>
      <w:pPr>
        <w:widowControl/>
        <w:shd w:val="clear" w:color="auto" w:fill="FFFFFF"/>
        <w:spacing w:line="420" w:lineRule="atLeast"/>
        <w:jc w:val="left"/>
        <w:rPr>
          <w:rFonts w:ascii="仿宋_GB2312" w:hAnsi="微软雅黑" w:eastAsia="仿宋_GB2312" w:cs="宋体"/>
          <w:kern w:val="0"/>
          <w:sz w:val="20"/>
          <w:szCs w:val="20"/>
        </w:rPr>
      </w:pPr>
    </w:p>
    <w:p>
      <w:pPr>
        <w:widowControl/>
        <w:shd w:val="clear" w:color="auto" w:fill="FFFFFF"/>
        <w:spacing w:line="420" w:lineRule="atLeast"/>
        <w:jc w:val="left"/>
        <w:rPr>
          <w:rFonts w:ascii="仿宋_GB2312" w:hAnsi="微软雅黑" w:eastAsia="仿宋_GB2312" w:cs="宋体"/>
          <w:kern w:val="0"/>
          <w:sz w:val="20"/>
          <w:szCs w:val="20"/>
        </w:rPr>
      </w:pPr>
    </w:p>
    <w:p>
      <w:pPr>
        <w:widowControl/>
        <w:shd w:val="clear" w:color="auto" w:fill="FFFFFF"/>
        <w:spacing w:line="420" w:lineRule="atLeast"/>
        <w:jc w:val="left"/>
        <w:rPr>
          <w:rFonts w:ascii="仿宋_GB2312" w:hAnsi="微软雅黑" w:eastAsia="仿宋_GB2312" w:cs="宋体"/>
          <w:kern w:val="0"/>
          <w:sz w:val="20"/>
          <w:szCs w:val="20"/>
        </w:rPr>
      </w:pPr>
    </w:p>
    <w:p>
      <w:pPr>
        <w:widowControl/>
        <w:shd w:val="clear" w:color="auto" w:fill="FFFFFF"/>
        <w:spacing w:line="420" w:lineRule="atLeast"/>
        <w:jc w:val="left"/>
        <w:rPr>
          <w:rFonts w:ascii="仿宋_GB2312" w:hAnsi="微软雅黑" w:eastAsia="仿宋_GB2312" w:cs="宋体"/>
          <w:kern w:val="0"/>
          <w:sz w:val="20"/>
          <w:szCs w:val="20"/>
        </w:rPr>
      </w:pPr>
    </w:p>
    <w:p>
      <w:pPr>
        <w:widowControl/>
        <w:shd w:val="clear" w:color="auto" w:fill="FFFFFF"/>
        <w:spacing w:line="420" w:lineRule="atLeast"/>
        <w:jc w:val="left"/>
        <w:rPr>
          <w:rFonts w:ascii="仿宋_GB2312" w:hAnsi="微软雅黑" w:eastAsia="仿宋_GB2312" w:cs="宋体"/>
          <w:kern w:val="0"/>
          <w:sz w:val="20"/>
          <w:szCs w:val="20"/>
        </w:rPr>
      </w:pPr>
    </w:p>
    <w:p>
      <w:pPr>
        <w:widowControl/>
        <w:shd w:val="clear" w:color="auto" w:fill="FFFFFF"/>
        <w:spacing w:line="420" w:lineRule="atLeast"/>
        <w:jc w:val="left"/>
        <w:rPr>
          <w:rFonts w:ascii="仿宋_GB2312" w:hAnsi="微软雅黑" w:eastAsia="仿宋_GB2312" w:cs="宋体"/>
          <w:kern w:val="0"/>
          <w:sz w:val="20"/>
          <w:szCs w:val="20"/>
        </w:rPr>
      </w:pPr>
    </w:p>
    <w:p>
      <w:pPr>
        <w:widowControl/>
        <w:shd w:val="clear" w:color="auto" w:fill="FFFFFF"/>
        <w:spacing w:line="420" w:lineRule="atLeast"/>
        <w:jc w:val="left"/>
        <w:rPr>
          <w:rFonts w:ascii="仿宋_GB2312" w:hAnsi="微软雅黑" w:eastAsia="仿宋_GB2312" w:cs="宋体"/>
          <w:kern w:val="0"/>
          <w:sz w:val="20"/>
          <w:szCs w:val="20"/>
        </w:rPr>
      </w:pPr>
    </w:p>
    <w:p>
      <w:pPr>
        <w:widowControl/>
        <w:shd w:val="clear" w:color="auto" w:fill="FFFFFF"/>
        <w:spacing w:line="420" w:lineRule="atLeast"/>
        <w:jc w:val="left"/>
        <w:rPr>
          <w:rFonts w:ascii="仿宋_GB2312" w:hAnsi="微软雅黑" w:eastAsia="仿宋_GB2312" w:cs="宋体"/>
          <w:kern w:val="0"/>
          <w:sz w:val="20"/>
          <w:szCs w:val="20"/>
        </w:rPr>
      </w:pPr>
    </w:p>
    <w:p>
      <w:pPr>
        <w:widowControl/>
        <w:shd w:val="clear" w:color="auto" w:fill="FFFFFF"/>
        <w:spacing w:line="420" w:lineRule="atLeast"/>
        <w:jc w:val="left"/>
        <w:rPr>
          <w:rFonts w:ascii="仿宋_GB2312" w:hAnsi="微软雅黑" w:eastAsia="仿宋_GB2312" w:cs="宋体"/>
          <w:kern w:val="0"/>
          <w:sz w:val="20"/>
          <w:szCs w:val="20"/>
        </w:rPr>
      </w:pPr>
    </w:p>
    <w:p>
      <w:pPr>
        <w:widowControl/>
        <w:shd w:val="clear" w:color="auto" w:fill="FFFFFF"/>
        <w:spacing w:line="420" w:lineRule="atLeast"/>
        <w:jc w:val="left"/>
        <w:rPr>
          <w:rFonts w:ascii="仿宋_GB2312" w:hAnsi="微软雅黑" w:eastAsia="仿宋_GB2312" w:cs="宋体"/>
          <w:kern w:val="0"/>
          <w:sz w:val="20"/>
          <w:szCs w:val="20"/>
        </w:rPr>
      </w:pPr>
    </w:p>
    <w:p>
      <w:pPr>
        <w:widowControl/>
        <w:shd w:val="clear" w:color="auto" w:fill="FFFFFF"/>
        <w:spacing w:line="420" w:lineRule="atLeast"/>
        <w:jc w:val="left"/>
        <w:rPr>
          <w:rFonts w:hint="eastAsia"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表四</w:t>
      </w:r>
    </w:p>
    <w:p>
      <w:pPr>
        <w:widowControl/>
        <w:shd w:val="clear" w:color="auto" w:fill="FFFFFF"/>
        <w:spacing w:line="420" w:lineRule="atLeast"/>
        <w:jc w:val="center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  <w:lang w:eastAsia="zh-CN"/>
        </w:rPr>
        <w:t>温州市卫健委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2022</w:t>
      </w:r>
      <w:r>
        <w:rPr>
          <w:rFonts w:hint="eastAsia" w:ascii="黑体" w:hAnsi="黑体" w:eastAsia="黑体" w:cs="宋体"/>
          <w:kern w:val="0"/>
          <w:sz w:val="32"/>
          <w:szCs w:val="32"/>
        </w:rPr>
        <w:t>年度其他行政执法行为实施情况统计表</w:t>
      </w:r>
    </w:p>
    <w:p>
      <w:pPr>
        <w:widowControl/>
        <w:shd w:val="clear" w:color="auto" w:fill="FFFFFF"/>
        <w:spacing w:line="420" w:lineRule="atLeast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 </w:t>
      </w:r>
    </w:p>
    <w:tbl>
      <w:tblPr>
        <w:tblStyle w:val="2"/>
        <w:tblW w:w="0" w:type="auto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986"/>
        <w:gridCol w:w="711"/>
        <w:gridCol w:w="634"/>
        <w:gridCol w:w="986"/>
        <w:gridCol w:w="557"/>
        <w:gridCol w:w="986"/>
        <w:gridCol w:w="711"/>
        <w:gridCol w:w="684"/>
        <w:gridCol w:w="859"/>
        <w:gridCol w:w="7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行政征收</w:t>
            </w:r>
          </w:p>
        </w:tc>
        <w:tc>
          <w:tcPr>
            <w:tcW w:w="7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行政检查</w:t>
            </w: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行政裁决</w:t>
            </w:r>
          </w:p>
        </w:tc>
        <w:tc>
          <w:tcPr>
            <w:tcW w:w="154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行政给付</w:t>
            </w:r>
          </w:p>
        </w:tc>
        <w:tc>
          <w:tcPr>
            <w:tcW w:w="7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行政确认</w:t>
            </w:r>
          </w:p>
        </w:tc>
        <w:tc>
          <w:tcPr>
            <w:tcW w:w="154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行政奖励</w:t>
            </w:r>
          </w:p>
        </w:tc>
        <w:tc>
          <w:tcPr>
            <w:tcW w:w="7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其他行政执法行为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次数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征收总金额（万元）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次数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次数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涉及金额</w:t>
            </w:r>
          </w:p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（万元）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次数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给付总金额（万元）</w:t>
            </w:r>
          </w:p>
        </w:tc>
        <w:tc>
          <w:tcPr>
            <w:tcW w:w="7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次数</w:t>
            </w:r>
          </w:p>
        </w:tc>
        <w:tc>
          <w:tcPr>
            <w:tcW w:w="6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次数</w:t>
            </w:r>
          </w:p>
        </w:tc>
        <w:tc>
          <w:tcPr>
            <w:tcW w:w="8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奖励总金额（万元）</w:t>
            </w:r>
          </w:p>
        </w:tc>
        <w:tc>
          <w:tcPr>
            <w:tcW w:w="7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宗数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tblCellSpacing w:w="0" w:type="dxa"/>
          <w:jc w:val="center"/>
        </w:trPr>
        <w:tc>
          <w:tcPr>
            <w:tcW w:w="6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spacing w:line="420" w:lineRule="atLeast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仿宋_GB2312" w:hAnsi="微软雅黑" w:eastAsia="仿宋_GB2312" w:cs="宋体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仿宋_GB2312" w:hAnsi="微软雅黑" w:eastAsia="仿宋_GB2312" w:cs="宋体"/>
          <w:kern w:val="0"/>
          <w:sz w:val="24"/>
          <w:szCs w:val="24"/>
        </w:rPr>
        <w:t>说明：检查1个检查对象，有完整、详细的检查记录，计为检查1次。无特定检查对象的巡查、巡逻，无完整、详细检查记录，检查后作出行政处罚等其他行政执法行为的，均不计为检查次数。</w:t>
      </w:r>
    </w:p>
    <w:p>
      <w:pPr>
        <w:widowControl/>
        <w:shd w:val="clear" w:color="auto" w:fill="FFFFFF"/>
        <w:spacing w:line="420" w:lineRule="atLeast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420" w:lineRule="atLeast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420" w:lineRule="atLeast"/>
        <w:jc w:val="left"/>
        <w:rPr>
          <w:rFonts w:ascii="微软雅黑" w:hAnsi="微软雅黑" w:eastAsia="微软雅黑" w:cs="宋体"/>
          <w:kern w:val="0"/>
          <w:sz w:val="23"/>
          <w:szCs w:val="23"/>
        </w:rPr>
      </w:pPr>
    </w:p>
    <w:p>
      <w:pPr>
        <w:widowControl/>
        <w:shd w:val="clear" w:color="auto" w:fill="FFFFFF"/>
        <w:spacing w:line="555" w:lineRule="atLeast"/>
        <w:jc w:val="center"/>
        <w:rPr>
          <w:rFonts w:ascii="方正小标宋简体" w:hAnsi="微软雅黑" w:eastAsia="方正小标宋简体" w:cs="宋体"/>
          <w:kern w:val="0"/>
          <w:sz w:val="20"/>
          <w:szCs w:val="20"/>
        </w:rPr>
      </w:pPr>
    </w:p>
    <w:p>
      <w:pPr>
        <w:widowControl/>
        <w:shd w:val="clear" w:color="auto" w:fill="FFFFFF"/>
        <w:spacing w:line="555" w:lineRule="atLeast"/>
        <w:jc w:val="center"/>
        <w:rPr>
          <w:rFonts w:ascii="方正小标宋简体" w:hAnsi="微软雅黑" w:eastAsia="方正小标宋简体" w:cs="宋体"/>
          <w:kern w:val="0"/>
          <w:sz w:val="20"/>
          <w:szCs w:val="20"/>
        </w:rPr>
      </w:pPr>
    </w:p>
    <w:p>
      <w:pPr>
        <w:widowControl/>
        <w:shd w:val="clear" w:color="auto" w:fill="FFFFFF"/>
        <w:spacing w:line="555" w:lineRule="atLeast"/>
        <w:jc w:val="center"/>
        <w:rPr>
          <w:rFonts w:ascii="方正小标宋简体" w:hAnsi="微软雅黑" w:eastAsia="方正小标宋简体" w:cs="宋体"/>
          <w:kern w:val="0"/>
          <w:sz w:val="20"/>
          <w:szCs w:val="20"/>
        </w:rPr>
      </w:pPr>
    </w:p>
    <w:p>
      <w:pPr>
        <w:widowControl/>
        <w:shd w:val="clear" w:color="auto" w:fill="FFFFFF"/>
        <w:spacing w:line="555" w:lineRule="atLeast"/>
        <w:jc w:val="center"/>
        <w:rPr>
          <w:rFonts w:ascii="方正小标宋简体" w:hAnsi="微软雅黑" w:eastAsia="方正小标宋简体" w:cs="宋体"/>
          <w:kern w:val="0"/>
          <w:sz w:val="20"/>
          <w:szCs w:val="20"/>
        </w:rPr>
      </w:pPr>
    </w:p>
    <w:p>
      <w:pPr>
        <w:widowControl/>
        <w:shd w:val="clear" w:color="auto" w:fill="FFFFFF"/>
        <w:spacing w:line="555" w:lineRule="atLeast"/>
        <w:jc w:val="center"/>
        <w:rPr>
          <w:rFonts w:ascii="方正小标宋简体" w:hAnsi="微软雅黑" w:eastAsia="方正小标宋简体" w:cs="宋体"/>
          <w:kern w:val="0"/>
          <w:sz w:val="20"/>
          <w:szCs w:val="20"/>
        </w:rPr>
      </w:pPr>
    </w:p>
    <w:p>
      <w:pPr>
        <w:widowControl/>
        <w:shd w:val="clear" w:color="auto" w:fill="FFFFFF"/>
        <w:spacing w:line="555" w:lineRule="atLeast"/>
        <w:jc w:val="center"/>
        <w:rPr>
          <w:rFonts w:ascii="方正小标宋简体" w:hAnsi="微软雅黑" w:eastAsia="方正小标宋简体" w:cs="宋体"/>
          <w:kern w:val="0"/>
          <w:sz w:val="20"/>
          <w:szCs w:val="20"/>
        </w:rPr>
      </w:pPr>
    </w:p>
    <w:p>
      <w:pPr>
        <w:widowControl/>
        <w:shd w:val="clear" w:color="auto" w:fill="FFFFFF"/>
        <w:spacing w:line="555" w:lineRule="atLeast"/>
        <w:jc w:val="center"/>
        <w:rPr>
          <w:rFonts w:ascii="方正小标宋简体" w:hAnsi="微软雅黑" w:eastAsia="方正小标宋简体" w:cs="宋体"/>
          <w:kern w:val="0"/>
          <w:sz w:val="20"/>
          <w:szCs w:val="20"/>
        </w:rPr>
      </w:pPr>
    </w:p>
    <w:p>
      <w:pPr>
        <w:widowControl/>
        <w:shd w:val="clear" w:color="auto" w:fill="FFFFFF"/>
        <w:spacing w:line="555" w:lineRule="atLeast"/>
        <w:jc w:val="center"/>
        <w:rPr>
          <w:rFonts w:ascii="方正小标宋简体" w:hAnsi="微软雅黑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微软雅黑" w:eastAsia="方正小标宋简体" w:cs="宋体"/>
          <w:kern w:val="0"/>
          <w:sz w:val="36"/>
          <w:szCs w:val="36"/>
        </w:rPr>
        <w:t>第二部分  </w:t>
      </w:r>
      <w:r>
        <w:rPr>
          <w:rFonts w:hint="eastAsia" w:ascii="方正小标宋简体" w:hAnsi="微软雅黑" w:eastAsia="方正小标宋简体" w:cs="宋体"/>
          <w:kern w:val="0"/>
          <w:sz w:val="36"/>
          <w:szCs w:val="36"/>
          <w:lang w:eastAsia="zh-CN"/>
        </w:rPr>
        <w:t>温州市卫健委</w:t>
      </w:r>
      <w:r>
        <w:rPr>
          <w:rFonts w:hint="eastAsia" w:ascii="方正小标宋简体" w:hAnsi="微软雅黑" w:eastAsia="方正小标宋简体" w:cs="宋体"/>
          <w:kern w:val="0"/>
          <w:sz w:val="36"/>
          <w:szCs w:val="36"/>
          <w:lang w:val="en-US" w:eastAsia="zh-CN"/>
        </w:rPr>
        <w:t>2022</w:t>
      </w:r>
      <w:r>
        <w:rPr>
          <w:rFonts w:hint="eastAsia" w:ascii="方正小标宋简体" w:hAnsi="微软雅黑" w:eastAsia="方正小标宋简体" w:cs="宋体"/>
          <w:kern w:val="0"/>
          <w:sz w:val="36"/>
          <w:szCs w:val="36"/>
        </w:rPr>
        <w:t>年度行政执法情况说明</w:t>
      </w:r>
    </w:p>
    <w:p>
      <w:pPr>
        <w:widowControl/>
        <w:shd w:val="clear" w:color="auto" w:fill="FFFFFF"/>
        <w:spacing w:line="555" w:lineRule="atLeast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本部门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2022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年度行政执法总数为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5403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宗。</w:t>
      </w:r>
    </w:p>
    <w:p>
      <w:pPr>
        <w:widowControl/>
        <w:shd w:val="clear" w:color="auto" w:fill="FFFFFF"/>
        <w:spacing w:line="555" w:lineRule="atLeast"/>
        <w:ind w:firstLine="645"/>
        <w:jc w:val="both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本部门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2022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年度行政执法被申请行政复议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宗，其中（行政处罚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宗，行政许可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宗，行政强制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宗，行政征收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宗，行政检查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宗，行政裁决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宗，行政给付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宗，行政确认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宗，行政奖励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宗，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其他行政行为0宗（均为投诉举报件）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下同）；行政复议决定履行法定职责、撤销、变更、确认违法或者确认无效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宗。行政复议后又被提起行政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诉讼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宗；判决履行法定职责、撤销、部分撤销、变更、确认违法或者确认无效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宗。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本部门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2022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年度行政执法直接被提起行政诉讼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宗，其中行政给付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宗；判决履行法定职责、撤销、部分撤销、变更、确认违法或者确认无效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宗。</w:t>
      </w:r>
    </w:p>
    <w:p>
      <w:pPr>
        <w:rPr>
          <w:rFonts w:ascii="仿宋" w:hAnsi="仿宋" w:eastAsia="仿宋" w:cs="Times New Roman"/>
          <w:sz w:val="30"/>
          <w:szCs w:val="30"/>
        </w:rPr>
      </w:pPr>
    </w:p>
    <w:p>
      <w:pPr>
        <w:rPr>
          <w:rFonts w:ascii="仿宋" w:hAnsi="仿宋" w:eastAsia="仿宋"/>
          <w:sz w:val="32"/>
          <w:szCs w:val="32"/>
        </w:rPr>
      </w:pPr>
    </w:p>
    <w:p/>
    <w:p>
      <w:pPr>
        <w:autoSpaceDE w:val="0"/>
        <w:autoSpaceDN w:val="0"/>
        <w:adjustRightInd w:val="0"/>
        <w:snapToGrid w:val="0"/>
        <w:spacing w:line="336" w:lineRule="auto"/>
        <w:rPr>
          <w:rFonts w:hint="eastAsia" w:ascii="仿宋_GB2312" w:eastAsia="仿宋_GB2312"/>
          <w:spacing w:val="-4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336" w:lineRule="auto"/>
        <w:rPr>
          <w:rFonts w:hint="eastAsia" w:ascii="仿宋_GB2312" w:eastAsia="仿宋_GB2312"/>
          <w:spacing w:val="-4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hYTI1M2U5ZWI0MGQ0OWMyMjM4YTJkNDg2NWI1MjMifQ=="/>
  </w:docVars>
  <w:rsids>
    <w:rsidRoot w:val="44F358EB"/>
    <w:rsid w:val="44F358EB"/>
    <w:rsid w:val="53D89AC4"/>
    <w:rsid w:val="6BF8C38C"/>
    <w:rsid w:val="6E7F05E9"/>
    <w:rsid w:val="6FFE5877"/>
    <w:rsid w:val="7E6F3671"/>
    <w:rsid w:val="7FBAD9F1"/>
    <w:rsid w:val="7FFEE2DC"/>
    <w:rsid w:val="DF9BAB40"/>
    <w:rsid w:val="F1DF78B2"/>
    <w:rsid w:val="F4BFA7F3"/>
    <w:rsid w:val="FDF3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2023-01-13T11:50:00Z</dcterms:created>
  <dc:creator>小鸟</dc:creator>
  <cp:lastModifiedBy>greatwall</cp:lastModifiedBy>
  <dcterms:modified xsi:type="dcterms:W3CDTF">2023-01-16T14:11:35Z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  <property fmtid="{D5CDD505-2E9C-101B-9397-08002B2CF9AE}" pid="3" name="ICV">
    <vt:lpwstr>10C6C53FEBC44419857316423E6CB72A</vt:lpwstr>
  </property>
</Properties>
</file>